
<file path=[Content_Types].xml><?xml version="1.0" encoding="utf-8"?>
<Types xmlns="http://schemas.openxmlformats.org/package/2006/content-types">
  <Default Extension="png" ContentType="image/png"/>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FCAD8">
      <w:pPr>
        <w:keepNext w:val="0"/>
        <w:keepLines w:val="0"/>
        <w:pageBreakBefore w:val="0"/>
        <w:kinsoku/>
        <w:overflowPunct/>
        <w:topLinePunct w:val="0"/>
        <w:bidi w:val="0"/>
        <w:snapToGrid/>
        <w:spacing w:line="600" w:lineRule="exact"/>
        <w:ind w:left="0"/>
        <w:jc w:val="center"/>
        <w:textAlignment w:val="auto"/>
        <w:rPr>
          <w:rFonts w:ascii="方正小标宋简体" w:hAnsi="宋体" w:eastAsia="方正小标宋简体"/>
          <w:color w:val="auto"/>
          <w:sz w:val="44"/>
          <w:szCs w:val="32"/>
        </w:rPr>
      </w:pPr>
      <w:r>
        <w:rPr>
          <w:rFonts w:hint="eastAsia" w:ascii="方正小标宋简体" w:hAnsi="宋体" w:eastAsia="方正小标宋简体"/>
          <w:color w:val="auto"/>
          <w:sz w:val="44"/>
          <w:szCs w:val="32"/>
        </w:rPr>
        <w:t>团体标准《</w:t>
      </w:r>
      <w:r>
        <w:rPr>
          <w:rFonts w:hint="eastAsia" w:ascii="方正小标宋简体" w:hAnsi="宋体" w:eastAsia="方正小标宋简体"/>
          <w:color w:val="auto"/>
          <w:sz w:val="44"/>
          <w:szCs w:val="32"/>
          <w:lang w:eastAsia="zh-CN"/>
        </w:rPr>
        <w:t>内河航道用水量保障与应急规范</w:t>
      </w:r>
      <w:r>
        <w:rPr>
          <w:rFonts w:hint="eastAsia" w:ascii="方正小标宋简体" w:hAnsi="宋体" w:eastAsia="方正小标宋简体"/>
          <w:color w:val="auto"/>
          <w:sz w:val="44"/>
          <w:szCs w:val="32"/>
        </w:rPr>
        <w:t>》（征求意见稿）编制说明</w:t>
      </w:r>
    </w:p>
    <w:p w14:paraId="7545AED6">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p>
    <w:p w14:paraId="0D5136F0">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一、任务来源、起草单位、主要起草人</w:t>
      </w:r>
    </w:p>
    <w:p w14:paraId="7FB55DF0">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highlight w:val="none"/>
        </w:rPr>
        <w:t>根据《广西标准化协会关于下达20</w:t>
      </w:r>
      <w:r>
        <w:rPr>
          <w:rFonts w:hint="eastAsia" w:ascii="仿宋_GB2312" w:hAnsi="宋体"/>
          <w:color w:val="auto"/>
          <w:sz w:val="32"/>
          <w:szCs w:val="28"/>
          <w:highlight w:val="none"/>
          <w:lang w:val="en-US" w:eastAsia="zh-CN"/>
        </w:rPr>
        <w:t>26</w:t>
      </w:r>
      <w:r>
        <w:rPr>
          <w:rFonts w:hint="eastAsia" w:ascii="仿宋_GB2312" w:hAnsi="宋体" w:eastAsia="仿宋_GB2312"/>
          <w:color w:val="auto"/>
          <w:sz w:val="32"/>
          <w:szCs w:val="28"/>
          <w:highlight w:val="none"/>
        </w:rPr>
        <w:t>年第</w:t>
      </w:r>
      <w:r>
        <w:rPr>
          <w:rFonts w:hint="eastAsia" w:ascii="仿宋_GB2312" w:hAnsi="宋体"/>
          <w:color w:val="auto"/>
          <w:sz w:val="32"/>
          <w:szCs w:val="28"/>
          <w:highlight w:val="none"/>
          <w:lang w:val="en-US" w:eastAsia="zh-CN"/>
        </w:rPr>
        <w:t>十二</w:t>
      </w:r>
      <w:r>
        <w:rPr>
          <w:rFonts w:hint="eastAsia" w:ascii="仿宋_GB2312" w:hAnsi="宋体" w:eastAsia="仿宋_GB2312"/>
          <w:color w:val="auto"/>
          <w:sz w:val="32"/>
          <w:szCs w:val="28"/>
          <w:highlight w:val="none"/>
        </w:rPr>
        <w:t>批团体标准制修订项目计划的通知》（桂标协〔20</w:t>
      </w:r>
      <w:r>
        <w:rPr>
          <w:rFonts w:hint="eastAsia" w:ascii="仿宋_GB2312" w:hAnsi="宋体"/>
          <w:color w:val="auto"/>
          <w:sz w:val="32"/>
          <w:szCs w:val="28"/>
          <w:highlight w:val="none"/>
          <w:lang w:val="en-US" w:eastAsia="zh-CN"/>
        </w:rPr>
        <w:t>26</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150</w:t>
      </w:r>
      <w:r>
        <w:rPr>
          <w:rFonts w:hint="eastAsia" w:ascii="仿宋_GB2312" w:hAnsi="宋体" w:eastAsia="仿宋_GB2312"/>
          <w:color w:val="auto"/>
          <w:sz w:val="32"/>
          <w:szCs w:val="28"/>
          <w:highlight w:val="none"/>
        </w:rPr>
        <w:t>号）文件精神，由</w:t>
      </w:r>
      <w:r>
        <w:rPr>
          <w:rFonts w:hint="eastAsia" w:ascii="仿宋_GB2312" w:hAnsi="宋体"/>
          <w:color w:val="auto"/>
          <w:sz w:val="32"/>
          <w:szCs w:val="28"/>
          <w:highlight w:val="none"/>
          <w:lang w:val="en-US" w:eastAsia="zh-CN"/>
        </w:rPr>
        <w:t>广西交科集团有限公司</w:t>
      </w:r>
      <w:r>
        <w:rPr>
          <w:rFonts w:hint="eastAsia" w:ascii="仿宋_GB2312" w:hAnsi="宋体" w:eastAsia="仿宋_GB2312"/>
          <w:color w:val="auto"/>
          <w:sz w:val="32"/>
          <w:szCs w:val="28"/>
          <w:highlight w:val="none"/>
        </w:rPr>
        <w:t>提出，</w:t>
      </w:r>
      <w:r>
        <w:rPr>
          <w:rFonts w:hint="eastAsia"/>
          <w:color w:val="auto"/>
        </w:rPr>
        <w:t>广西交科集团有限公司、广西珠委南宁勘测设计院有限公司、广西壮族自治区水运发展中心、中交第二航务工程局有限公司、贺州市交通运输局</w:t>
      </w:r>
      <w:r>
        <w:rPr>
          <w:rFonts w:hint="eastAsia" w:ascii="仿宋_GB2312" w:hAnsi="宋体" w:eastAsia="仿宋_GB2312"/>
          <w:color w:val="auto"/>
          <w:sz w:val="32"/>
          <w:szCs w:val="28"/>
          <w:highlight w:val="none"/>
        </w:rPr>
        <w:t>等</w:t>
      </w:r>
      <w:r>
        <w:rPr>
          <w:rFonts w:ascii="仿宋_GB2312" w:hAnsi="宋体" w:eastAsia="仿宋_GB2312"/>
          <w:color w:val="auto"/>
          <w:sz w:val="32"/>
          <w:szCs w:val="28"/>
          <w:highlight w:val="none"/>
        </w:rPr>
        <w:t>单位</w:t>
      </w:r>
      <w:r>
        <w:rPr>
          <w:rFonts w:hint="eastAsia" w:ascii="仿宋_GB2312" w:hAnsi="宋体" w:eastAsia="仿宋_GB2312"/>
          <w:color w:val="auto"/>
          <w:sz w:val="32"/>
          <w:szCs w:val="28"/>
          <w:highlight w:val="none"/>
        </w:rPr>
        <w:t>共同起草的团体标准《</w:t>
      </w:r>
      <w:r>
        <w:rPr>
          <w:rFonts w:hint="eastAsia" w:ascii="仿宋_GB2312" w:hAnsi="宋体"/>
          <w:color w:val="auto"/>
          <w:sz w:val="32"/>
          <w:szCs w:val="28"/>
          <w:highlight w:val="none"/>
          <w:lang w:eastAsia="zh-CN"/>
        </w:rPr>
        <w:t>内河航道用水量保障与应急规范</w:t>
      </w:r>
      <w:r>
        <w:rPr>
          <w:rFonts w:hint="eastAsia" w:ascii="仿宋_GB2312" w:hAnsi="宋体" w:eastAsia="仿宋_GB2312"/>
          <w:color w:val="auto"/>
          <w:sz w:val="32"/>
          <w:szCs w:val="28"/>
          <w:highlight w:val="none"/>
        </w:rPr>
        <w:t>》（项目编号：20</w:t>
      </w:r>
      <w:r>
        <w:rPr>
          <w:rFonts w:hint="eastAsia" w:ascii="仿宋_GB2312" w:hAnsi="宋体"/>
          <w:color w:val="auto"/>
          <w:sz w:val="32"/>
          <w:szCs w:val="28"/>
          <w:highlight w:val="none"/>
          <w:lang w:val="en-US" w:eastAsia="zh-CN"/>
        </w:rPr>
        <w:t>26</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1201</w:t>
      </w:r>
      <w:r>
        <w:rPr>
          <w:rFonts w:hint="eastAsia" w:ascii="仿宋_GB2312" w:hAnsi="宋体" w:eastAsia="仿宋_GB2312"/>
          <w:color w:val="auto"/>
          <w:sz w:val="32"/>
          <w:szCs w:val="28"/>
          <w:highlight w:val="none"/>
        </w:rPr>
        <w:t>）已获批</w:t>
      </w:r>
      <w:r>
        <w:rPr>
          <w:rFonts w:hint="eastAsia" w:ascii="仿宋_GB2312" w:hAnsi="宋体" w:eastAsia="仿宋_GB2312"/>
          <w:color w:val="auto"/>
          <w:sz w:val="32"/>
          <w:szCs w:val="28"/>
        </w:rPr>
        <w:t>立项。</w:t>
      </w:r>
    </w:p>
    <w:p w14:paraId="134AFA4C">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为高质量编制团体标准《</w:t>
      </w:r>
      <w:r>
        <w:rPr>
          <w:rFonts w:hint="eastAsia" w:ascii="仿宋_GB2312" w:hAnsi="宋体"/>
          <w:color w:val="auto"/>
          <w:sz w:val="32"/>
          <w:szCs w:val="28"/>
          <w:lang w:eastAsia="zh-CN"/>
        </w:rPr>
        <w:t>内河航道用水量保障与应急规范</w:t>
      </w:r>
      <w:r>
        <w:rPr>
          <w:rFonts w:hint="eastAsia" w:ascii="仿宋_GB2312" w:hAnsi="宋体" w:eastAsia="仿宋_GB2312"/>
          <w:color w:val="auto"/>
          <w:sz w:val="32"/>
          <w:szCs w:val="28"/>
        </w:rPr>
        <w:t>》，由起草单位成立标准编制工作组并进行如下分工：</w:t>
      </w:r>
    </w:p>
    <w:tbl>
      <w:tblPr>
        <w:tblStyle w:val="6"/>
        <w:tblW w:w="4996" w:type="pct"/>
        <w:tblInd w:w="0" w:type="dxa"/>
        <w:tblLayout w:type="autofit"/>
        <w:tblCellMar>
          <w:top w:w="0" w:type="dxa"/>
          <w:left w:w="108" w:type="dxa"/>
          <w:bottom w:w="0" w:type="dxa"/>
          <w:right w:w="108" w:type="dxa"/>
        </w:tblCellMar>
      </w:tblPr>
      <w:tblGrid>
        <w:gridCol w:w="998"/>
        <w:gridCol w:w="1488"/>
        <w:gridCol w:w="1376"/>
        <w:gridCol w:w="2326"/>
        <w:gridCol w:w="2979"/>
      </w:tblGrid>
      <w:tr w14:paraId="7809343D">
        <w:tblPrEx>
          <w:tblCellMar>
            <w:top w:w="0" w:type="dxa"/>
            <w:left w:w="108" w:type="dxa"/>
            <w:bottom w:w="0" w:type="dxa"/>
            <w:right w:w="108" w:type="dxa"/>
          </w:tblCellMar>
        </w:tblPrEx>
        <w:trPr>
          <w:cantSplit/>
          <w:trHeight w:val="578" w:hRule="atLeast"/>
          <w:tblHeader/>
        </w:trPr>
        <w:tc>
          <w:tcPr>
            <w:tcW w:w="544" w:type="pct"/>
            <w:tcBorders>
              <w:top w:val="single" w:color="auto" w:sz="4" w:space="0"/>
              <w:left w:val="single" w:color="auto" w:sz="4" w:space="0"/>
              <w:bottom w:val="single" w:color="auto" w:sz="4" w:space="0"/>
              <w:right w:val="single" w:color="auto" w:sz="4" w:space="0"/>
            </w:tcBorders>
            <w:vAlign w:val="center"/>
          </w:tcPr>
          <w:p w14:paraId="0E4EF444">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姓 名</w:t>
            </w:r>
          </w:p>
        </w:tc>
        <w:tc>
          <w:tcPr>
            <w:tcW w:w="811" w:type="pct"/>
            <w:tcBorders>
              <w:top w:val="single" w:color="auto" w:sz="4" w:space="0"/>
              <w:left w:val="single" w:color="auto" w:sz="4" w:space="0"/>
              <w:bottom w:val="single" w:color="auto" w:sz="4" w:space="0"/>
              <w:right w:val="single" w:color="auto" w:sz="4" w:space="0"/>
            </w:tcBorders>
            <w:vAlign w:val="center"/>
          </w:tcPr>
          <w:p w14:paraId="05FD9FB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职称/职位</w:t>
            </w:r>
          </w:p>
        </w:tc>
        <w:tc>
          <w:tcPr>
            <w:tcW w:w="750" w:type="pct"/>
            <w:tcBorders>
              <w:top w:val="single" w:color="auto" w:sz="4" w:space="0"/>
              <w:left w:val="single" w:color="auto" w:sz="4" w:space="0"/>
              <w:bottom w:val="single" w:color="auto" w:sz="4" w:space="0"/>
              <w:right w:val="single" w:color="auto" w:sz="4" w:space="0"/>
            </w:tcBorders>
            <w:vAlign w:val="center"/>
          </w:tcPr>
          <w:p w14:paraId="6DE4B5C6">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default" w:ascii="仿宋_GB2312" w:hAnsi="仿宋_GB2312" w:eastAsia="仿宋_GB2312" w:cs="仿宋_GB2312"/>
                <w:b/>
                <w:bCs/>
                <w:color w:val="auto"/>
                <w:sz w:val="24"/>
                <w:lang w:val="en-US" w:eastAsia="zh-CN"/>
              </w:rPr>
            </w:pPr>
            <w:r>
              <w:rPr>
                <w:rFonts w:hint="eastAsia" w:ascii="仿宋_GB2312" w:hAnsi="仿宋_GB2312" w:cs="仿宋_GB2312"/>
                <w:b/>
                <w:bCs/>
                <w:color w:val="auto"/>
                <w:sz w:val="24"/>
                <w:lang w:val="en-US" w:eastAsia="zh-CN"/>
              </w:rPr>
              <w:t>从事专业</w:t>
            </w:r>
          </w:p>
        </w:tc>
        <w:tc>
          <w:tcPr>
            <w:tcW w:w="1268" w:type="pct"/>
            <w:tcBorders>
              <w:top w:val="single" w:color="auto" w:sz="4" w:space="0"/>
              <w:left w:val="single" w:color="auto" w:sz="4" w:space="0"/>
              <w:bottom w:val="single" w:color="auto" w:sz="4" w:space="0"/>
              <w:right w:val="single" w:color="auto" w:sz="4" w:space="0"/>
            </w:tcBorders>
            <w:vAlign w:val="center"/>
          </w:tcPr>
          <w:p w14:paraId="296C249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工作单位</w:t>
            </w:r>
          </w:p>
        </w:tc>
        <w:tc>
          <w:tcPr>
            <w:tcW w:w="1624" w:type="pct"/>
            <w:tcBorders>
              <w:top w:val="single" w:color="auto" w:sz="4" w:space="0"/>
              <w:left w:val="single" w:color="auto" w:sz="4" w:space="0"/>
              <w:bottom w:val="single" w:color="auto" w:sz="4" w:space="0"/>
              <w:right w:val="single" w:color="auto" w:sz="4" w:space="0"/>
            </w:tcBorders>
            <w:vAlign w:val="center"/>
          </w:tcPr>
          <w:p w14:paraId="7A1E50A8">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主要负责工作</w:t>
            </w:r>
          </w:p>
        </w:tc>
      </w:tr>
      <w:tr w14:paraId="3BA7805A">
        <w:tblPrEx>
          <w:tblCellMar>
            <w:top w:w="0" w:type="dxa"/>
            <w:left w:w="108" w:type="dxa"/>
            <w:bottom w:w="0" w:type="dxa"/>
            <w:right w:w="108" w:type="dxa"/>
          </w:tblCellMar>
        </w:tblPrEx>
        <w:trPr>
          <w:cantSplit/>
          <w:trHeight w:val="732" w:hRule="atLeast"/>
        </w:trPr>
        <w:tc>
          <w:tcPr>
            <w:tcW w:w="544" w:type="pct"/>
            <w:tcBorders>
              <w:top w:val="single" w:color="auto" w:sz="4" w:space="0"/>
              <w:left w:val="single" w:color="auto" w:sz="4" w:space="0"/>
              <w:bottom w:val="single" w:color="auto" w:sz="4" w:space="0"/>
              <w:right w:val="single" w:color="008000" w:sz="4" w:space="0"/>
            </w:tcBorders>
            <w:vAlign w:val="center"/>
          </w:tcPr>
          <w:p w14:paraId="1426081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张晶晶</w:t>
            </w:r>
          </w:p>
        </w:tc>
        <w:tc>
          <w:tcPr>
            <w:tcW w:w="811" w:type="pct"/>
            <w:tcBorders>
              <w:top w:val="single" w:color="auto" w:sz="4" w:space="0"/>
              <w:left w:val="single" w:color="auto" w:sz="4" w:space="0"/>
              <w:bottom w:val="single" w:color="auto" w:sz="4" w:space="0"/>
              <w:right w:val="single" w:color="auto" w:sz="4" w:space="0"/>
            </w:tcBorders>
            <w:vAlign w:val="center"/>
          </w:tcPr>
          <w:p w14:paraId="12102A0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auto" w:sz="4" w:space="0"/>
              <w:right w:val="single" w:color="auto" w:sz="4" w:space="0"/>
            </w:tcBorders>
            <w:vAlign w:val="center"/>
          </w:tcPr>
          <w:p w14:paraId="1129FF3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交通运输规划与管理</w:t>
            </w:r>
          </w:p>
        </w:tc>
        <w:tc>
          <w:tcPr>
            <w:tcW w:w="1268" w:type="pct"/>
            <w:tcBorders>
              <w:top w:val="single" w:color="auto" w:sz="4" w:space="0"/>
              <w:left w:val="single" w:color="auto" w:sz="4" w:space="0"/>
              <w:bottom w:val="single" w:color="auto" w:sz="4" w:space="0"/>
              <w:right w:val="single" w:color="auto" w:sz="4" w:space="0"/>
            </w:tcBorders>
            <w:vAlign w:val="center"/>
          </w:tcPr>
          <w:p w14:paraId="2C8ED34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1330368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统筹主持标准编制工作</w:t>
            </w:r>
          </w:p>
        </w:tc>
      </w:tr>
      <w:tr w14:paraId="795455FB">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744F1866">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谢殿武</w:t>
            </w:r>
          </w:p>
        </w:tc>
        <w:tc>
          <w:tcPr>
            <w:tcW w:w="811" w:type="pct"/>
            <w:tcBorders>
              <w:top w:val="single" w:color="auto" w:sz="4" w:space="0"/>
              <w:left w:val="single" w:color="auto" w:sz="4" w:space="0"/>
              <w:bottom w:val="single" w:color="auto" w:sz="4" w:space="0"/>
              <w:right w:val="single" w:color="auto" w:sz="4" w:space="0"/>
            </w:tcBorders>
            <w:vAlign w:val="center"/>
          </w:tcPr>
          <w:p w14:paraId="1914C03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正高级工程师</w:t>
            </w:r>
          </w:p>
        </w:tc>
        <w:tc>
          <w:tcPr>
            <w:tcW w:w="750" w:type="pct"/>
            <w:tcBorders>
              <w:top w:val="single" w:color="000000" w:sz="2" w:space="0"/>
              <w:left w:val="single" w:color="auto" w:sz="4" w:space="0"/>
              <w:bottom w:val="single" w:color="auto" w:sz="4" w:space="0"/>
              <w:right w:val="single" w:color="auto" w:sz="4" w:space="0"/>
            </w:tcBorders>
            <w:vAlign w:val="center"/>
          </w:tcPr>
          <w:p w14:paraId="23A6ACEB">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港口与航道工程</w:t>
            </w:r>
          </w:p>
        </w:tc>
        <w:tc>
          <w:tcPr>
            <w:tcW w:w="1268" w:type="pct"/>
            <w:tcBorders>
              <w:top w:val="single" w:color="auto" w:sz="4" w:space="0"/>
              <w:left w:val="single" w:color="auto" w:sz="4" w:space="0"/>
              <w:bottom w:val="single" w:color="auto" w:sz="4" w:space="0"/>
              <w:right w:val="single" w:color="auto" w:sz="4" w:space="0"/>
            </w:tcBorders>
            <w:vAlign w:val="center"/>
          </w:tcPr>
          <w:p w14:paraId="67412EB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广西壮族自治区水运发展中心</w:t>
            </w:r>
          </w:p>
        </w:tc>
        <w:tc>
          <w:tcPr>
            <w:tcW w:w="1624" w:type="pct"/>
            <w:tcBorders>
              <w:top w:val="single" w:color="auto" w:sz="4" w:space="0"/>
              <w:left w:val="single" w:color="auto" w:sz="4" w:space="0"/>
              <w:bottom w:val="single" w:color="auto" w:sz="4" w:space="0"/>
              <w:right w:val="single" w:color="auto" w:sz="4" w:space="0"/>
            </w:tcBorders>
            <w:vAlign w:val="center"/>
          </w:tcPr>
          <w:p w14:paraId="45F594A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项目设计、立项申报、参与撰写等</w:t>
            </w:r>
          </w:p>
        </w:tc>
      </w:tr>
      <w:tr w14:paraId="4FE0338D">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3373686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吕</w:t>
            </w:r>
            <w:r>
              <w:rPr>
                <w:rFonts w:hint="eastAsia" w:ascii="仿宋_GB2312"/>
                <w:color w:val="auto"/>
                <w:sz w:val="24"/>
                <w:lang w:val="en-US" w:eastAsia="zh-CN"/>
              </w:rPr>
              <w:t xml:space="preserve">  </w:t>
            </w:r>
            <w:r>
              <w:rPr>
                <w:rFonts w:hint="eastAsia" w:ascii="仿宋_GB2312" w:eastAsia="仿宋_GB2312"/>
                <w:color w:val="auto"/>
                <w:sz w:val="24"/>
              </w:rPr>
              <w:t>源</w:t>
            </w:r>
          </w:p>
        </w:tc>
        <w:tc>
          <w:tcPr>
            <w:tcW w:w="811" w:type="pct"/>
            <w:tcBorders>
              <w:top w:val="single" w:color="auto" w:sz="4" w:space="0"/>
              <w:left w:val="single" w:color="auto" w:sz="4" w:space="0"/>
              <w:bottom w:val="single" w:color="auto" w:sz="4" w:space="0"/>
              <w:right w:val="single" w:color="auto" w:sz="4" w:space="0"/>
            </w:tcBorders>
            <w:vAlign w:val="center"/>
          </w:tcPr>
          <w:p w14:paraId="6D7A33A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规划所副所长/高级工程师</w:t>
            </w:r>
          </w:p>
        </w:tc>
        <w:tc>
          <w:tcPr>
            <w:tcW w:w="750" w:type="pct"/>
            <w:tcBorders>
              <w:top w:val="single" w:color="000000" w:sz="2" w:space="0"/>
              <w:left w:val="single" w:color="auto" w:sz="4" w:space="0"/>
              <w:bottom w:val="single" w:color="auto" w:sz="4" w:space="0"/>
              <w:right w:val="single" w:color="auto" w:sz="4" w:space="0"/>
            </w:tcBorders>
            <w:vAlign w:val="center"/>
          </w:tcPr>
          <w:p w14:paraId="041D6D6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水文规划</w:t>
            </w:r>
          </w:p>
        </w:tc>
        <w:tc>
          <w:tcPr>
            <w:tcW w:w="1268" w:type="pct"/>
            <w:tcBorders>
              <w:top w:val="single" w:color="auto" w:sz="4" w:space="0"/>
              <w:left w:val="single" w:color="auto" w:sz="4" w:space="0"/>
              <w:bottom w:val="single" w:color="auto" w:sz="4" w:space="0"/>
              <w:right w:val="single" w:color="auto" w:sz="4" w:space="0"/>
            </w:tcBorders>
            <w:vAlign w:val="center"/>
          </w:tcPr>
          <w:p w14:paraId="2E0F798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广西珠委南宁勘测设计院有限公司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77FA140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项目设计、立项申报、参与撰写等</w:t>
            </w:r>
          </w:p>
        </w:tc>
      </w:tr>
      <w:tr w14:paraId="4DA2C65D">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672699B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田</w:t>
            </w:r>
            <w:r>
              <w:rPr>
                <w:rFonts w:hint="eastAsia" w:ascii="仿宋_GB2312"/>
                <w:color w:val="auto"/>
                <w:sz w:val="24"/>
                <w:lang w:val="en-US" w:eastAsia="zh-CN"/>
              </w:rPr>
              <w:t xml:space="preserve">  </w:t>
            </w:r>
            <w:r>
              <w:rPr>
                <w:rFonts w:hint="eastAsia" w:ascii="仿宋_GB2312" w:eastAsia="仿宋_GB2312"/>
                <w:color w:val="auto"/>
                <w:sz w:val="24"/>
              </w:rPr>
              <w:t>华</w:t>
            </w:r>
          </w:p>
        </w:tc>
        <w:tc>
          <w:tcPr>
            <w:tcW w:w="811" w:type="pct"/>
            <w:tcBorders>
              <w:top w:val="single" w:color="auto" w:sz="4" w:space="0"/>
              <w:left w:val="single" w:color="auto" w:sz="4" w:space="0"/>
              <w:bottom w:val="single" w:color="auto" w:sz="4" w:space="0"/>
              <w:right w:val="single" w:color="auto" w:sz="4" w:space="0"/>
            </w:tcBorders>
            <w:vAlign w:val="center"/>
          </w:tcPr>
          <w:p w14:paraId="4EE4C89E">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正高级工程师</w:t>
            </w:r>
          </w:p>
        </w:tc>
        <w:tc>
          <w:tcPr>
            <w:tcW w:w="750" w:type="pct"/>
            <w:tcBorders>
              <w:top w:val="single" w:color="000000" w:sz="2" w:space="0"/>
              <w:left w:val="single" w:color="auto" w:sz="4" w:space="0"/>
              <w:bottom w:val="single" w:color="auto" w:sz="4" w:space="0"/>
              <w:right w:val="single" w:color="auto" w:sz="4" w:space="0"/>
            </w:tcBorders>
            <w:vAlign w:val="center"/>
          </w:tcPr>
          <w:p w14:paraId="39F130E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道路与桥梁工程</w:t>
            </w:r>
          </w:p>
        </w:tc>
        <w:tc>
          <w:tcPr>
            <w:tcW w:w="1268" w:type="pct"/>
            <w:tcBorders>
              <w:top w:val="single" w:color="auto" w:sz="4" w:space="0"/>
              <w:left w:val="single" w:color="auto" w:sz="4" w:space="0"/>
              <w:bottom w:val="single" w:color="auto" w:sz="4" w:space="0"/>
              <w:right w:val="single" w:color="auto" w:sz="4" w:space="0"/>
            </w:tcBorders>
            <w:vAlign w:val="center"/>
          </w:tcPr>
          <w:p w14:paraId="449282D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74ED45FC">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项目设计、立项申报、参与撰写等</w:t>
            </w:r>
          </w:p>
        </w:tc>
      </w:tr>
      <w:tr w14:paraId="425367DE">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1A7395C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朱伟强</w:t>
            </w:r>
          </w:p>
        </w:tc>
        <w:tc>
          <w:tcPr>
            <w:tcW w:w="811" w:type="pct"/>
            <w:tcBorders>
              <w:top w:val="single" w:color="auto" w:sz="4" w:space="0"/>
              <w:left w:val="single" w:color="auto" w:sz="4" w:space="0"/>
              <w:bottom w:val="single" w:color="auto" w:sz="4" w:space="0"/>
              <w:right w:val="single" w:color="auto" w:sz="4" w:space="0"/>
            </w:tcBorders>
            <w:vAlign w:val="center"/>
          </w:tcPr>
          <w:p w14:paraId="5886C8B2">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auto" w:sz="4" w:space="0"/>
              <w:right w:val="single" w:color="auto" w:sz="4" w:space="0"/>
            </w:tcBorders>
            <w:vAlign w:val="center"/>
          </w:tcPr>
          <w:p w14:paraId="67FDAA3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航道工程</w:t>
            </w:r>
          </w:p>
        </w:tc>
        <w:tc>
          <w:tcPr>
            <w:tcW w:w="1268" w:type="pct"/>
            <w:tcBorders>
              <w:top w:val="single" w:color="auto" w:sz="4" w:space="0"/>
              <w:left w:val="single" w:color="auto" w:sz="4" w:space="0"/>
              <w:bottom w:val="single" w:color="auto" w:sz="4" w:space="0"/>
              <w:right w:val="single" w:color="auto" w:sz="4" w:space="0"/>
            </w:tcBorders>
            <w:vAlign w:val="center"/>
          </w:tcPr>
          <w:p w14:paraId="5BF5FF36">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广西壮族自治区水运发展中心</w:t>
            </w:r>
          </w:p>
        </w:tc>
        <w:tc>
          <w:tcPr>
            <w:tcW w:w="1624" w:type="pct"/>
            <w:tcBorders>
              <w:top w:val="single" w:color="auto" w:sz="4" w:space="0"/>
              <w:left w:val="single" w:color="auto" w:sz="4" w:space="0"/>
              <w:bottom w:val="single" w:color="auto" w:sz="4" w:space="0"/>
              <w:right w:val="single" w:color="auto" w:sz="4" w:space="0"/>
            </w:tcBorders>
            <w:vAlign w:val="center"/>
          </w:tcPr>
          <w:p w14:paraId="088DC88C">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项目设计、立项申报、参与撰写等</w:t>
            </w:r>
          </w:p>
        </w:tc>
      </w:tr>
      <w:tr w14:paraId="29D732CE">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7D81B75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杨</w:t>
            </w:r>
            <w:r>
              <w:rPr>
                <w:rFonts w:hint="eastAsia" w:ascii="仿宋_GB2312"/>
                <w:color w:val="auto"/>
                <w:sz w:val="24"/>
                <w:lang w:val="en-US" w:eastAsia="zh-CN"/>
              </w:rPr>
              <w:t xml:space="preserve">  </w:t>
            </w:r>
            <w:r>
              <w:rPr>
                <w:rFonts w:hint="eastAsia" w:ascii="仿宋_GB2312" w:eastAsia="仿宋_GB2312"/>
                <w:color w:val="auto"/>
                <w:sz w:val="24"/>
              </w:rPr>
              <w:t>梅</w:t>
            </w:r>
          </w:p>
        </w:tc>
        <w:tc>
          <w:tcPr>
            <w:tcW w:w="811" w:type="pct"/>
            <w:tcBorders>
              <w:top w:val="single" w:color="auto" w:sz="4" w:space="0"/>
              <w:left w:val="single" w:color="auto" w:sz="4" w:space="0"/>
              <w:bottom w:val="single" w:color="auto" w:sz="4" w:space="0"/>
              <w:right w:val="single" w:color="auto" w:sz="4" w:space="0"/>
            </w:tcBorders>
            <w:vAlign w:val="center"/>
          </w:tcPr>
          <w:p w14:paraId="5273E74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规划所总工程师/高级工程师</w:t>
            </w:r>
          </w:p>
        </w:tc>
        <w:tc>
          <w:tcPr>
            <w:tcW w:w="750" w:type="pct"/>
            <w:tcBorders>
              <w:top w:val="single" w:color="000000" w:sz="2" w:space="0"/>
              <w:left w:val="single" w:color="auto" w:sz="4" w:space="0"/>
              <w:bottom w:val="single" w:color="auto" w:sz="4" w:space="0"/>
              <w:right w:val="single" w:color="auto" w:sz="4" w:space="0"/>
            </w:tcBorders>
            <w:vAlign w:val="center"/>
          </w:tcPr>
          <w:p w14:paraId="64449A2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水文规划</w:t>
            </w:r>
          </w:p>
        </w:tc>
        <w:tc>
          <w:tcPr>
            <w:tcW w:w="1268" w:type="pct"/>
            <w:tcBorders>
              <w:top w:val="single" w:color="auto" w:sz="4" w:space="0"/>
              <w:left w:val="single" w:color="auto" w:sz="4" w:space="0"/>
              <w:bottom w:val="single" w:color="auto" w:sz="4" w:space="0"/>
              <w:right w:val="single" w:color="auto" w:sz="4" w:space="0"/>
            </w:tcBorders>
            <w:vAlign w:val="center"/>
          </w:tcPr>
          <w:p w14:paraId="243BC0EE">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广西珠委南宁勘测设计院有限公司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62DF414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数据资料收集、标准起草、撰写</w:t>
            </w:r>
          </w:p>
        </w:tc>
      </w:tr>
      <w:tr w14:paraId="0630B433">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3F39CB9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黄光耀</w:t>
            </w:r>
          </w:p>
        </w:tc>
        <w:tc>
          <w:tcPr>
            <w:tcW w:w="811" w:type="pct"/>
            <w:tcBorders>
              <w:top w:val="single" w:color="auto" w:sz="4" w:space="0"/>
              <w:left w:val="single" w:color="auto" w:sz="4" w:space="0"/>
              <w:bottom w:val="single" w:color="auto" w:sz="4" w:space="0"/>
              <w:right w:val="single" w:color="auto" w:sz="4" w:space="0"/>
            </w:tcBorders>
            <w:vAlign w:val="center"/>
          </w:tcPr>
          <w:p w14:paraId="2D917A4E">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0F2FCABC">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道路与桥梁工程</w:t>
            </w:r>
          </w:p>
        </w:tc>
        <w:tc>
          <w:tcPr>
            <w:tcW w:w="1268" w:type="pct"/>
            <w:tcBorders>
              <w:top w:val="single" w:color="auto" w:sz="4" w:space="0"/>
              <w:left w:val="single" w:color="auto" w:sz="4" w:space="0"/>
              <w:bottom w:val="single" w:color="auto" w:sz="4" w:space="0"/>
              <w:right w:val="single" w:color="auto" w:sz="4" w:space="0"/>
            </w:tcBorders>
            <w:vAlign w:val="center"/>
          </w:tcPr>
          <w:p w14:paraId="6E1402AA">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75CE4B6E">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数据资料收集、标准起草、撰写</w:t>
            </w:r>
          </w:p>
        </w:tc>
      </w:tr>
      <w:tr w14:paraId="10C24E84">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054D9602">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刘路明</w:t>
            </w:r>
          </w:p>
        </w:tc>
        <w:tc>
          <w:tcPr>
            <w:tcW w:w="811" w:type="pct"/>
            <w:tcBorders>
              <w:top w:val="single" w:color="auto" w:sz="4" w:space="0"/>
              <w:left w:val="single" w:color="auto" w:sz="4" w:space="0"/>
              <w:bottom w:val="single" w:color="auto" w:sz="4" w:space="0"/>
              <w:right w:val="single" w:color="auto" w:sz="4" w:space="0"/>
            </w:tcBorders>
            <w:vAlign w:val="center"/>
          </w:tcPr>
          <w:p w14:paraId="71FD317E">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147D445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生态环保</w:t>
            </w:r>
          </w:p>
        </w:tc>
        <w:tc>
          <w:tcPr>
            <w:tcW w:w="1268" w:type="pct"/>
            <w:tcBorders>
              <w:top w:val="single" w:color="auto" w:sz="4" w:space="0"/>
              <w:left w:val="single" w:color="auto" w:sz="4" w:space="0"/>
              <w:bottom w:val="single" w:color="auto" w:sz="4" w:space="0"/>
              <w:right w:val="single" w:color="auto" w:sz="4" w:space="0"/>
            </w:tcBorders>
            <w:vAlign w:val="center"/>
          </w:tcPr>
          <w:p w14:paraId="0386BE1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523E522C">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数据资料收集、标准起草、撰写</w:t>
            </w:r>
          </w:p>
        </w:tc>
      </w:tr>
      <w:tr w14:paraId="414C5C66">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24D4F9A8">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孙晋东</w:t>
            </w:r>
          </w:p>
        </w:tc>
        <w:tc>
          <w:tcPr>
            <w:tcW w:w="811" w:type="pct"/>
            <w:tcBorders>
              <w:top w:val="single" w:color="auto" w:sz="4" w:space="0"/>
              <w:left w:val="single" w:color="auto" w:sz="4" w:space="0"/>
              <w:bottom w:val="single" w:color="auto" w:sz="4" w:space="0"/>
              <w:right w:val="single" w:color="auto" w:sz="4" w:space="0"/>
            </w:tcBorders>
            <w:vAlign w:val="center"/>
          </w:tcPr>
          <w:p w14:paraId="74CD0A3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规划所副所长/工程师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15971C6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水文规划</w:t>
            </w:r>
          </w:p>
        </w:tc>
        <w:tc>
          <w:tcPr>
            <w:tcW w:w="1268" w:type="pct"/>
            <w:tcBorders>
              <w:top w:val="single" w:color="auto" w:sz="4" w:space="0"/>
              <w:left w:val="single" w:color="auto" w:sz="4" w:space="0"/>
              <w:bottom w:val="single" w:color="auto" w:sz="4" w:space="0"/>
              <w:right w:val="single" w:color="auto" w:sz="4" w:space="0"/>
            </w:tcBorders>
            <w:vAlign w:val="center"/>
          </w:tcPr>
          <w:p w14:paraId="024C7F4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广西珠委南宁勘测设计院有限公司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3D73D18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数据资料收集、标准起草、撰写</w:t>
            </w:r>
          </w:p>
        </w:tc>
      </w:tr>
      <w:tr w14:paraId="4ACEE707">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10304CE6">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岑树华</w:t>
            </w:r>
          </w:p>
        </w:tc>
        <w:tc>
          <w:tcPr>
            <w:tcW w:w="811" w:type="pct"/>
            <w:tcBorders>
              <w:top w:val="single" w:color="auto" w:sz="4" w:space="0"/>
              <w:left w:val="single" w:color="auto" w:sz="4" w:space="0"/>
              <w:bottom w:val="single" w:color="auto" w:sz="4" w:space="0"/>
              <w:right w:val="single" w:color="auto" w:sz="4" w:space="0"/>
            </w:tcBorders>
            <w:vAlign w:val="center"/>
          </w:tcPr>
          <w:p w14:paraId="744ECE9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1E64EA29">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航道工程</w:t>
            </w:r>
          </w:p>
        </w:tc>
        <w:tc>
          <w:tcPr>
            <w:tcW w:w="1268" w:type="pct"/>
            <w:tcBorders>
              <w:top w:val="single" w:color="auto" w:sz="4" w:space="0"/>
              <w:left w:val="single" w:color="auto" w:sz="4" w:space="0"/>
              <w:bottom w:val="single" w:color="auto" w:sz="4" w:space="0"/>
              <w:right w:val="single" w:color="auto" w:sz="4" w:space="0"/>
            </w:tcBorders>
            <w:vAlign w:val="center"/>
          </w:tcPr>
          <w:p w14:paraId="54ABFCA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广西壮族自治区水运发展中心</w:t>
            </w:r>
          </w:p>
        </w:tc>
        <w:tc>
          <w:tcPr>
            <w:tcW w:w="1624" w:type="pct"/>
            <w:tcBorders>
              <w:top w:val="single" w:color="auto" w:sz="4" w:space="0"/>
              <w:left w:val="single" w:color="auto" w:sz="4" w:space="0"/>
              <w:bottom w:val="single" w:color="auto" w:sz="4" w:space="0"/>
              <w:right w:val="single" w:color="auto" w:sz="4" w:space="0"/>
            </w:tcBorders>
            <w:vAlign w:val="center"/>
          </w:tcPr>
          <w:p w14:paraId="0E4963F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数据资料收集、标准起草、撰写</w:t>
            </w:r>
          </w:p>
        </w:tc>
      </w:tr>
      <w:tr w14:paraId="430F30F0">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254E15F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罗维当</w:t>
            </w:r>
          </w:p>
        </w:tc>
        <w:tc>
          <w:tcPr>
            <w:tcW w:w="811" w:type="pct"/>
            <w:tcBorders>
              <w:top w:val="single" w:color="auto" w:sz="4" w:space="0"/>
              <w:left w:val="single" w:color="auto" w:sz="4" w:space="0"/>
              <w:bottom w:val="single" w:color="auto" w:sz="4" w:space="0"/>
              <w:right w:val="single" w:color="auto" w:sz="4" w:space="0"/>
            </w:tcBorders>
            <w:vAlign w:val="center"/>
          </w:tcPr>
          <w:p w14:paraId="7D599F7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27FBAEE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工程咨询</w:t>
            </w:r>
          </w:p>
        </w:tc>
        <w:tc>
          <w:tcPr>
            <w:tcW w:w="1268" w:type="pct"/>
            <w:tcBorders>
              <w:top w:val="single" w:color="auto" w:sz="4" w:space="0"/>
              <w:left w:val="single" w:color="auto" w:sz="4" w:space="0"/>
              <w:bottom w:val="single" w:color="auto" w:sz="4" w:space="0"/>
              <w:right w:val="single" w:color="auto" w:sz="4" w:space="0"/>
            </w:tcBorders>
            <w:vAlign w:val="center"/>
          </w:tcPr>
          <w:p w14:paraId="5289258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40D55A8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数据资料收集、标准起草、撰写</w:t>
            </w:r>
          </w:p>
        </w:tc>
      </w:tr>
      <w:tr w14:paraId="68C4A7BA">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37CD8DE9">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李</w:t>
            </w:r>
            <w:r>
              <w:rPr>
                <w:rFonts w:hint="eastAsia" w:ascii="仿宋_GB2312"/>
                <w:color w:val="auto"/>
                <w:sz w:val="24"/>
                <w:lang w:val="en-US" w:eastAsia="zh-CN"/>
              </w:rPr>
              <w:t xml:space="preserve">  </w:t>
            </w:r>
            <w:r>
              <w:rPr>
                <w:rFonts w:hint="eastAsia" w:ascii="仿宋_GB2312" w:eastAsia="仿宋_GB2312"/>
                <w:color w:val="auto"/>
                <w:sz w:val="24"/>
              </w:rPr>
              <w:t>汪</w:t>
            </w:r>
          </w:p>
        </w:tc>
        <w:tc>
          <w:tcPr>
            <w:tcW w:w="811" w:type="pct"/>
            <w:tcBorders>
              <w:top w:val="single" w:color="auto" w:sz="4" w:space="0"/>
              <w:left w:val="single" w:color="auto" w:sz="4" w:space="0"/>
              <w:bottom w:val="single" w:color="auto" w:sz="4" w:space="0"/>
              <w:right w:val="single" w:color="auto" w:sz="4" w:space="0"/>
            </w:tcBorders>
            <w:vAlign w:val="center"/>
          </w:tcPr>
          <w:p w14:paraId="7339D89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49B6E20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航道工程</w:t>
            </w:r>
          </w:p>
        </w:tc>
        <w:tc>
          <w:tcPr>
            <w:tcW w:w="1268" w:type="pct"/>
            <w:tcBorders>
              <w:top w:val="single" w:color="auto" w:sz="4" w:space="0"/>
              <w:left w:val="single" w:color="auto" w:sz="4" w:space="0"/>
              <w:bottom w:val="single" w:color="auto" w:sz="4" w:space="0"/>
              <w:right w:val="single" w:color="auto" w:sz="4" w:space="0"/>
            </w:tcBorders>
            <w:vAlign w:val="center"/>
          </w:tcPr>
          <w:p w14:paraId="12F089F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广西壮族自治区水运发展中心</w:t>
            </w:r>
          </w:p>
        </w:tc>
        <w:tc>
          <w:tcPr>
            <w:tcW w:w="1624" w:type="pct"/>
            <w:tcBorders>
              <w:top w:val="single" w:color="auto" w:sz="4" w:space="0"/>
              <w:left w:val="single" w:color="auto" w:sz="4" w:space="0"/>
              <w:bottom w:val="single" w:color="auto" w:sz="4" w:space="0"/>
              <w:right w:val="single" w:color="auto" w:sz="4" w:space="0"/>
            </w:tcBorders>
            <w:vAlign w:val="center"/>
          </w:tcPr>
          <w:p w14:paraId="24437B9B">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2ABC9CBC">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24A6AA0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黄永俊</w:t>
            </w:r>
          </w:p>
        </w:tc>
        <w:tc>
          <w:tcPr>
            <w:tcW w:w="811" w:type="pct"/>
            <w:tcBorders>
              <w:top w:val="single" w:color="auto" w:sz="4" w:space="0"/>
              <w:left w:val="single" w:color="auto" w:sz="4" w:space="0"/>
              <w:bottom w:val="single" w:color="auto" w:sz="4" w:space="0"/>
              <w:right w:val="single" w:color="auto" w:sz="4" w:space="0"/>
            </w:tcBorders>
            <w:vAlign w:val="center"/>
          </w:tcPr>
          <w:p w14:paraId="45638DDB">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048B33A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水文规划</w:t>
            </w:r>
          </w:p>
        </w:tc>
        <w:tc>
          <w:tcPr>
            <w:tcW w:w="1268" w:type="pct"/>
            <w:tcBorders>
              <w:top w:val="single" w:color="auto" w:sz="4" w:space="0"/>
              <w:left w:val="single" w:color="auto" w:sz="4" w:space="0"/>
              <w:bottom w:val="single" w:color="auto" w:sz="4" w:space="0"/>
              <w:right w:val="single" w:color="auto" w:sz="4" w:space="0"/>
            </w:tcBorders>
            <w:vAlign w:val="center"/>
          </w:tcPr>
          <w:p w14:paraId="763A66E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广西珠委南宁勘测设计院有限公司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5E2FF81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5A2BE6E4">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3533451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王建秋</w:t>
            </w:r>
          </w:p>
        </w:tc>
        <w:tc>
          <w:tcPr>
            <w:tcW w:w="811" w:type="pct"/>
            <w:tcBorders>
              <w:top w:val="single" w:color="auto" w:sz="4" w:space="0"/>
              <w:left w:val="single" w:color="auto" w:sz="4" w:space="0"/>
              <w:bottom w:val="single" w:color="auto" w:sz="4" w:space="0"/>
              <w:right w:val="single" w:color="auto" w:sz="4" w:space="0"/>
            </w:tcBorders>
            <w:vAlign w:val="center"/>
          </w:tcPr>
          <w:p w14:paraId="6B512FE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7342F60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道路与桥梁工程</w:t>
            </w:r>
          </w:p>
        </w:tc>
        <w:tc>
          <w:tcPr>
            <w:tcW w:w="1268" w:type="pct"/>
            <w:tcBorders>
              <w:top w:val="single" w:color="auto" w:sz="4" w:space="0"/>
              <w:left w:val="single" w:color="auto" w:sz="4" w:space="0"/>
              <w:bottom w:val="single" w:color="auto" w:sz="4" w:space="0"/>
              <w:right w:val="single" w:color="auto" w:sz="4" w:space="0"/>
            </w:tcBorders>
            <w:vAlign w:val="center"/>
          </w:tcPr>
          <w:p w14:paraId="675157C8">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11D0680B">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1345AD70">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4582052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王</w:t>
            </w:r>
            <w:r>
              <w:rPr>
                <w:rFonts w:hint="eastAsia" w:ascii="仿宋_GB2312"/>
                <w:color w:val="auto"/>
                <w:sz w:val="24"/>
                <w:lang w:val="en-US" w:eastAsia="zh-CN"/>
              </w:rPr>
              <w:t xml:space="preserve">  </w:t>
            </w:r>
            <w:r>
              <w:rPr>
                <w:rFonts w:hint="eastAsia" w:ascii="仿宋_GB2312" w:eastAsia="仿宋_GB2312"/>
                <w:color w:val="auto"/>
                <w:sz w:val="24"/>
              </w:rPr>
              <w:t>勇</w:t>
            </w:r>
          </w:p>
        </w:tc>
        <w:tc>
          <w:tcPr>
            <w:tcW w:w="811" w:type="pct"/>
            <w:tcBorders>
              <w:top w:val="single" w:color="auto" w:sz="4" w:space="0"/>
              <w:left w:val="single" w:color="auto" w:sz="4" w:space="0"/>
              <w:bottom w:val="single" w:color="auto" w:sz="4" w:space="0"/>
              <w:right w:val="single" w:color="auto" w:sz="4" w:space="0"/>
            </w:tcBorders>
            <w:vAlign w:val="center"/>
          </w:tcPr>
          <w:p w14:paraId="077BDAB2">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正高级工程师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2D8E2029">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系统工程</w:t>
            </w:r>
          </w:p>
        </w:tc>
        <w:tc>
          <w:tcPr>
            <w:tcW w:w="1268" w:type="pct"/>
            <w:tcBorders>
              <w:top w:val="single" w:color="auto" w:sz="4" w:space="0"/>
              <w:left w:val="single" w:color="auto" w:sz="4" w:space="0"/>
              <w:bottom w:val="single" w:color="auto" w:sz="4" w:space="0"/>
              <w:right w:val="single" w:color="auto" w:sz="4" w:space="0"/>
            </w:tcBorders>
            <w:vAlign w:val="center"/>
          </w:tcPr>
          <w:p w14:paraId="3A07CEEA">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广西壮族自治区水运发展中心</w:t>
            </w:r>
          </w:p>
        </w:tc>
        <w:tc>
          <w:tcPr>
            <w:tcW w:w="1624" w:type="pct"/>
            <w:tcBorders>
              <w:top w:val="single" w:color="auto" w:sz="4" w:space="0"/>
              <w:left w:val="single" w:color="auto" w:sz="4" w:space="0"/>
              <w:bottom w:val="single" w:color="auto" w:sz="4" w:space="0"/>
              <w:right w:val="single" w:color="auto" w:sz="4" w:space="0"/>
            </w:tcBorders>
            <w:vAlign w:val="center"/>
          </w:tcPr>
          <w:p w14:paraId="75B96A5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126AE6C4">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7294DDDB">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潘新恩</w:t>
            </w:r>
          </w:p>
        </w:tc>
        <w:tc>
          <w:tcPr>
            <w:tcW w:w="811" w:type="pct"/>
            <w:tcBorders>
              <w:top w:val="single" w:color="auto" w:sz="4" w:space="0"/>
              <w:left w:val="single" w:color="auto" w:sz="4" w:space="0"/>
              <w:bottom w:val="single" w:color="auto" w:sz="4" w:space="0"/>
              <w:right w:val="single" w:color="auto" w:sz="4" w:space="0"/>
            </w:tcBorders>
            <w:vAlign w:val="center"/>
          </w:tcPr>
          <w:p w14:paraId="6C745B3E">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33EDF11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港口海岸及近海工程</w:t>
            </w:r>
          </w:p>
        </w:tc>
        <w:tc>
          <w:tcPr>
            <w:tcW w:w="1268" w:type="pct"/>
            <w:tcBorders>
              <w:top w:val="single" w:color="auto" w:sz="4" w:space="0"/>
              <w:left w:val="single" w:color="auto" w:sz="4" w:space="0"/>
              <w:bottom w:val="single" w:color="auto" w:sz="4" w:space="0"/>
              <w:right w:val="single" w:color="auto" w:sz="4" w:space="0"/>
            </w:tcBorders>
            <w:vAlign w:val="center"/>
          </w:tcPr>
          <w:p w14:paraId="2985AABB">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5EBC2E59">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04FA6546">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7F0EA79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陈淑娟</w:t>
            </w:r>
          </w:p>
        </w:tc>
        <w:tc>
          <w:tcPr>
            <w:tcW w:w="811" w:type="pct"/>
            <w:tcBorders>
              <w:top w:val="single" w:color="auto" w:sz="4" w:space="0"/>
              <w:left w:val="single" w:color="auto" w:sz="4" w:space="0"/>
              <w:bottom w:val="single" w:color="auto" w:sz="4" w:space="0"/>
              <w:right w:val="single" w:color="auto" w:sz="4" w:space="0"/>
            </w:tcBorders>
            <w:vAlign w:val="center"/>
          </w:tcPr>
          <w:p w14:paraId="706D8EC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535701F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环保工程</w:t>
            </w:r>
          </w:p>
        </w:tc>
        <w:tc>
          <w:tcPr>
            <w:tcW w:w="1268" w:type="pct"/>
            <w:tcBorders>
              <w:top w:val="single" w:color="auto" w:sz="4" w:space="0"/>
              <w:left w:val="single" w:color="auto" w:sz="4" w:space="0"/>
              <w:bottom w:val="single" w:color="auto" w:sz="4" w:space="0"/>
              <w:right w:val="single" w:color="auto" w:sz="4" w:space="0"/>
            </w:tcBorders>
            <w:vAlign w:val="center"/>
          </w:tcPr>
          <w:p w14:paraId="7F988DEC">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717B8DF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1555E4F1">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64E97B68">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雍燕兰</w:t>
            </w:r>
          </w:p>
        </w:tc>
        <w:tc>
          <w:tcPr>
            <w:tcW w:w="811" w:type="pct"/>
            <w:tcBorders>
              <w:top w:val="single" w:color="auto" w:sz="4" w:space="0"/>
              <w:left w:val="single" w:color="auto" w:sz="4" w:space="0"/>
              <w:bottom w:val="single" w:color="auto" w:sz="4" w:space="0"/>
              <w:right w:val="single" w:color="auto" w:sz="4" w:space="0"/>
            </w:tcBorders>
            <w:vAlign w:val="center"/>
          </w:tcPr>
          <w:p w14:paraId="48F2970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4E018F29">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水文规划</w:t>
            </w:r>
          </w:p>
        </w:tc>
        <w:tc>
          <w:tcPr>
            <w:tcW w:w="1268" w:type="pct"/>
            <w:tcBorders>
              <w:top w:val="single" w:color="auto" w:sz="4" w:space="0"/>
              <w:left w:val="single" w:color="auto" w:sz="4" w:space="0"/>
              <w:bottom w:val="single" w:color="auto" w:sz="4" w:space="0"/>
              <w:right w:val="single" w:color="auto" w:sz="4" w:space="0"/>
            </w:tcBorders>
            <w:vAlign w:val="center"/>
          </w:tcPr>
          <w:p w14:paraId="2D191A38">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广西珠委南宁勘测设计院有限公司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7EAA25A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5DF7E4A3">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3867003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冯罗杰</w:t>
            </w:r>
          </w:p>
        </w:tc>
        <w:tc>
          <w:tcPr>
            <w:tcW w:w="811" w:type="pct"/>
            <w:tcBorders>
              <w:top w:val="single" w:color="auto" w:sz="4" w:space="0"/>
              <w:left w:val="single" w:color="auto" w:sz="4" w:space="0"/>
              <w:bottom w:val="single" w:color="auto" w:sz="4" w:space="0"/>
              <w:right w:val="single" w:color="auto" w:sz="4" w:space="0"/>
            </w:tcBorders>
            <w:vAlign w:val="center"/>
          </w:tcPr>
          <w:p w14:paraId="64AAF0C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7AF31EE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水文规划</w:t>
            </w:r>
          </w:p>
        </w:tc>
        <w:tc>
          <w:tcPr>
            <w:tcW w:w="1268" w:type="pct"/>
            <w:tcBorders>
              <w:top w:val="single" w:color="auto" w:sz="4" w:space="0"/>
              <w:left w:val="single" w:color="auto" w:sz="4" w:space="0"/>
              <w:bottom w:val="single" w:color="auto" w:sz="4" w:space="0"/>
              <w:right w:val="single" w:color="auto" w:sz="4" w:space="0"/>
            </w:tcBorders>
            <w:vAlign w:val="center"/>
          </w:tcPr>
          <w:p w14:paraId="6605652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广西珠委南宁勘测设计院有限公司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18966AB2">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483486C0">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0A2B9539">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蒋超华</w:t>
            </w:r>
          </w:p>
        </w:tc>
        <w:tc>
          <w:tcPr>
            <w:tcW w:w="811" w:type="pct"/>
            <w:tcBorders>
              <w:top w:val="single" w:color="auto" w:sz="4" w:space="0"/>
              <w:left w:val="single" w:color="auto" w:sz="4" w:space="0"/>
              <w:bottom w:val="single" w:color="auto" w:sz="4" w:space="0"/>
              <w:right w:val="single" w:color="auto" w:sz="4" w:space="0"/>
            </w:tcBorders>
            <w:vAlign w:val="center"/>
          </w:tcPr>
          <w:p w14:paraId="4C1266E6">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18741DD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水文规划</w:t>
            </w:r>
          </w:p>
        </w:tc>
        <w:tc>
          <w:tcPr>
            <w:tcW w:w="1268" w:type="pct"/>
            <w:tcBorders>
              <w:top w:val="single" w:color="auto" w:sz="4" w:space="0"/>
              <w:left w:val="single" w:color="auto" w:sz="4" w:space="0"/>
              <w:bottom w:val="single" w:color="auto" w:sz="4" w:space="0"/>
              <w:right w:val="single" w:color="auto" w:sz="4" w:space="0"/>
            </w:tcBorders>
            <w:vAlign w:val="center"/>
          </w:tcPr>
          <w:p w14:paraId="4BD10619">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广西珠委南宁勘测设计院有限公司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4F4E906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4284B767">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2324929C">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韦媛媛</w:t>
            </w:r>
          </w:p>
        </w:tc>
        <w:tc>
          <w:tcPr>
            <w:tcW w:w="811" w:type="pct"/>
            <w:tcBorders>
              <w:top w:val="single" w:color="auto" w:sz="4" w:space="0"/>
              <w:left w:val="single" w:color="auto" w:sz="4" w:space="0"/>
              <w:bottom w:val="single" w:color="auto" w:sz="4" w:space="0"/>
              <w:right w:val="single" w:color="auto" w:sz="4" w:space="0"/>
            </w:tcBorders>
            <w:vAlign w:val="center"/>
          </w:tcPr>
          <w:p w14:paraId="3BC61A9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04DB649E">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交通运输规划</w:t>
            </w:r>
          </w:p>
        </w:tc>
        <w:tc>
          <w:tcPr>
            <w:tcW w:w="1268" w:type="pct"/>
            <w:tcBorders>
              <w:top w:val="single" w:color="auto" w:sz="4" w:space="0"/>
              <w:left w:val="single" w:color="auto" w:sz="4" w:space="0"/>
              <w:bottom w:val="single" w:color="auto" w:sz="4" w:space="0"/>
              <w:right w:val="single" w:color="auto" w:sz="4" w:space="0"/>
            </w:tcBorders>
            <w:vAlign w:val="center"/>
          </w:tcPr>
          <w:p w14:paraId="32CBDE08">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1DEBFDE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58B05868">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5AFF41F8">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欧阳常伟</w:t>
            </w:r>
          </w:p>
        </w:tc>
        <w:tc>
          <w:tcPr>
            <w:tcW w:w="811" w:type="pct"/>
            <w:tcBorders>
              <w:top w:val="single" w:color="auto" w:sz="4" w:space="0"/>
              <w:left w:val="single" w:color="auto" w:sz="4" w:space="0"/>
              <w:bottom w:val="single" w:color="auto" w:sz="4" w:space="0"/>
              <w:right w:val="single" w:color="auto" w:sz="4" w:space="0"/>
            </w:tcBorders>
            <w:vAlign w:val="center"/>
          </w:tcPr>
          <w:p w14:paraId="58ED4142">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640821E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交通运输</w:t>
            </w:r>
          </w:p>
        </w:tc>
        <w:tc>
          <w:tcPr>
            <w:tcW w:w="1268" w:type="pct"/>
            <w:tcBorders>
              <w:top w:val="single" w:color="auto" w:sz="4" w:space="0"/>
              <w:left w:val="single" w:color="auto" w:sz="4" w:space="0"/>
              <w:bottom w:val="single" w:color="auto" w:sz="4" w:space="0"/>
              <w:right w:val="single" w:color="auto" w:sz="4" w:space="0"/>
            </w:tcBorders>
            <w:vAlign w:val="center"/>
          </w:tcPr>
          <w:p w14:paraId="759AF885">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广西交科集团有限公司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79B2043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260F683C">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511F8C6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王晓峰</w:t>
            </w:r>
          </w:p>
        </w:tc>
        <w:tc>
          <w:tcPr>
            <w:tcW w:w="811" w:type="pct"/>
            <w:tcBorders>
              <w:top w:val="single" w:color="auto" w:sz="4" w:space="0"/>
              <w:left w:val="single" w:color="auto" w:sz="4" w:space="0"/>
              <w:bottom w:val="single" w:color="auto" w:sz="4" w:space="0"/>
              <w:right w:val="single" w:color="auto" w:sz="4" w:space="0"/>
            </w:tcBorders>
            <w:vAlign w:val="center"/>
          </w:tcPr>
          <w:p w14:paraId="268512C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5BE03BB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港口与航道建设管理</w:t>
            </w:r>
          </w:p>
        </w:tc>
        <w:tc>
          <w:tcPr>
            <w:tcW w:w="1268" w:type="pct"/>
            <w:tcBorders>
              <w:top w:val="single" w:color="auto" w:sz="4" w:space="0"/>
              <w:left w:val="single" w:color="auto" w:sz="4" w:space="0"/>
              <w:bottom w:val="single" w:color="auto" w:sz="4" w:space="0"/>
              <w:right w:val="single" w:color="auto" w:sz="4" w:space="0"/>
            </w:tcBorders>
            <w:vAlign w:val="center"/>
          </w:tcPr>
          <w:p w14:paraId="29A335C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中交第二航务工程局有限公司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6F680766">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4C080459">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19916A0E">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钟瑞庆</w:t>
            </w:r>
          </w:p>
        </w:tc>
        <w:tc>
          <w:tcPr>
            <w:tcW w:w="811" w:type="pct"/>
            <w:tcBorders>
              <w:top w:val="single" w:color="auto" w:sz="4" w:space="0"/>
              <w:left w:val="single" w:color="auto" w:sz="4" w:space="0"/>
              <w:bottom w:val="single" w:color="auto" w:sz="4" w:space="0"/>
              <w:right w:val="single" w:color="auto" w:sz="4" w:space="0"/>
            </w:tcBorders>
            <w:vAlign w:val="center"/>
          </w:tcPr>
          <w:p w14:paraId="44016FA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4EDB179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交通管理</w:t>
            </w:r>
          </w:p>
        </w:tc>
        <w:tc>
          <w:tcPr>
            <w:tcW w:w="1268" w:type="pct"/>
            <w:tcBorders>
              <w:top w:val="single" w:color="auto" w:sz="4" w:space="0"/>
              <w:left w:val="single" w:color="auto" w:sz="4" w:space="0"/>
              <w:bottom w:val="single" w:color="auto" w:sz="4" w:space="0"/>
              <w:right w:val="single" w:color="auto" w:sz="4" w:space="0"/>
            </w:tcBorders>
            <w:vAlign w:val="center"/>
          </w:tcPr>
          <w:p w14:paraId="52A9F09A">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贺州市交通运输局</w:t>
            </w:r>
          </w:p>
        </w:tc>
        <w:tc>
          <w:tcPr>
            <w:tcW w:w="1624" w:type="pct"/>
            <w:tcBorders>
              <w:top w:val="single" w:color="auto" w:sz="4" w:space="0"/>
              <w:left w:val="single" w:color="auto" w:sz="4" w:space="0"/>
              <w:bottom w:val="single" w:color="auto" w:sz="4" w:space="0"/>
              <w:right w:val="single" w:color="auto" w:sz="4" w:space="0"/>
            </w:tcBorders>
            <w:vAlign w:val="center"/>
          </w:tcPr>
          <w:p w14:paraId="6A0264D6">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63BEF909">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64EA024B">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张</w:t>
            </w:r>
            <w:r>
              <w:rPr>
                <w:rFonts w:hint="eastAsia" w:ascii="仿宋_GB2312"/>
                <w:color w:val="auto"/>
                <w:sz w:val="24"/>
                <w:lang w:val="en-US" w:eastAsia="zh-CN"/>
              </w:rPr>
              <w:t xml:space="preserve">  </w:t>
            </w:r>
            <w:r>
              <w:rPr>
                <w:rFonts w:hint="eastAsia" w:ascii="仿宋_GB2312" w:eastAsia="仿宋_GB2312"/>
                <w:color w:val="auto"/>
                <w:sz w:val="24"/>
              </w:rPr>
              <w:t>帆</w:t>
            </w:r>
          </w:p>
        </w:tc>
        <w:tc>
          <w:tcPr>
            <w:tcW w:w="811" w:type="pct"/>
            <w:tcBorders>
              <w:top w:val="single" w:color="auto" w:sz="4" w:space="0"/>
              <w:left w:val="single" w:color="auto" w:sz="4" w:space="0"/>
              <w:bottom w:val="single" w:color="auto" w:sz="4" w:space="0"/>
              <w:right w:val="single" w:color="auto" w:sz="4" w:space="0"/>
            </w:tcBorders>
            <w:vAlign w:val="center"/>
          </w:tcPr>
          <w:p w14:paraId="081CBB06">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57B9AFF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港口与航道建设管理</w:t>
            </w:r>
          </w:p>
        </w:tc>
        <w:tc>
          <w:tcPr>
            <w:tcW w:w="1268" w:type="pct"/>
            <w:tcBorders>
              <w:top w:val="single" w:color="auto" w:sz="4" w:space="0"/>
              <w:left w:val="single" w:color="auto" w:sz="4" w:space="0"/>
              <w:bottom w:val="single" w:color="auto" w:sz="4" w:space="0"/>
              <w:right w:val="single" w:color="auto" w:sz="4" w:space="0"/>
            </w:tcBorders>
            <w:vAlign w:val="center"/>
          </w:tcPr>
          <w:p w14:paraId="4D3E6CF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中交第二航务工程局有限公司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1CD945E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0EAA2349">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2CA6FFB2">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肖</w:t>
            </w:r>
            <w:r>
              <w:rPr>
                <w:rFonts w:hint="eastAsia" w:ascii="仿宋_GB2312"/>
                <w:color w:val="auto"/>
                <w:sz w:val="24"/>
                <w:lang w:val="en-US" w:eastAsia="zh-CN"/>
              </w:rPr>
              <w:t xml:space="preserve">  </w:t>
            </w:r>
            <w:r>
              <w:rPr>
                <w:rFonts w:hint="eastAsia" w:ascii="仿宋_GB2312" w:eastAsia="仿宋_GB2312"/>
                <w:color w:val="auto"/>
                <w:sz w:val="24"/>
              </w:rPr>
              <w:t>晨</w:t>
            </w:r>
          </w:p>
        </w:tc>
        <w:tc>
          <w:tcPr>
            <w:tcW w:w="811" w:type="pct"/>
            <w:tcBorders>
              <w:top w:val="single" w:color="auto" w:sz="4" w:space="0"/>
              <w:left w:val="single" w:color="auto" w:sz="4" w:space="0"/>
              <w:bottom w:val="single" w:color="auto" w:sz="4" w:space="0"/>
              <w:right w:val="single" w:color="auto" w:sz="4" w:space="0"/>
            </w:tcBorders>
            <w:vAlign w:val="center"/>
          </w:tcPr>
          <w:p w14:paraId="28E9F9B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482527F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港口与航道建设管理</w:t>
            </w:r>
          </w:p>
        </w:tc>
        <w:tc>
          <w:tcPr>
            <w:tcW w:w="1268" w:type="pct"/>
            <w:tcBorders>
              <w:top w:val="single" w:color="auto" w:sz="4" w:space="0"/>
              <w:left w:val="single" w:color="auto" w:sz="4" w:space="0"/>
              <w:bottom w:val="single" w:color="auto" w:sz="4" w:space="0"/>
              <w:right w:val="single" w:color="auto" w:sz="4" w:space="0"/>
            </w:tcBorders>
            <w:vAlign w:val="center"/>
          </w:tcPr>
          <w:p w14:paraId="238DCB0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中交第二航务工程局有限公司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6C6C9C8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6B737CD6">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470F372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唐祖威</w:t>
            </w:r>
          </w:p>
        </w:tc>
        <w:tc>
          <w:tcPr>
            <w:tcW w:w="811" w:type="pct"/>
            <w:tcBorders>
              <w:top w:val="single" w:color="auto" w:sz="4" w:space="0"/>
              <w:left w:val="single" w:color="auto" w:sz="4" w:space="0"/>
              <w:bottom w:val="single" w:color="auto" w:sz="4" w:space="0"/>
              <w:right w:val="single" w:color="auto" w:sz="4" w:space="0"/>
            </w:tcBorders>
            <w:vAlign w:val="center"/>
          </w:tcPr>
          <w:p w14:paraId="221D6709">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0BC2236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交通管理</w:t>
            </w:r>
          </w:p>
        </w:tc>
        <w:tc>
          <w:tcPr>
            <w:tcW w:w="1268" w:type="pct"/>
            <w:tcBorders>
              <w:top w:val="single" w:color="auto" w:sz="4" w:space="0"/>
              <w:left w:val="single" w:color="auto" w:sz="4" w:space="0"/>
              <w:bottom w:val="single" w:color="auto" w:sz="4" w:space="0"/>
              <w:right w:val="single" w:color="auto" w:sz="4" w:space="0"/>
            </w:tcBorders>
            <w:vAlign w:val="center"/>
          </w:tcPr>
          <w:p w14:paraId="078FE95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贺州市交通运输局</w:t>
            </w:r>
          </w:p>
        </w:tc>
        <w:tc>
          <w:tcPr>
            <w:tcW w:w="1624" w:type="pct"/>
            <w:tcBorders>
              <w:top w:val="single" w:color="auto" w:sz="4" w:space="0"/>
              <w:left w:val="single" w:color="auto" w:sz="4" w:space="0"/>
              <w:bottom w:val="single" w:color="auto" w:sz="4" w:space="0"/>
              <w:right w:val="single" w:color="auto" w:sz="4" w:space="0"/>
            </w:tcBorders>
            <w:vAlign w:val="center"/>
          </w:tcPr>
          <w:p w14:paraId="59BB2BA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77660E33">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7643B23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陈贻送</w:t>
            </w:r>
          </w:p>
        </w:tc>
        <w:tc>
          <w:tcPr>
            <w:tcW w:w="811" w:type="pct"/>
            <w:tcBorders>
              <w:top w:val="single" w:color="auto" w:sz="4" w:space="0"/>
              <w:left w:val="single" w:color="auto" w:sz="4" w:space="0"/>
              <w:bottom w:val="single" w:color="auto" w:sz="4" w:space="0"/>
              <w:right w:val="single" w:color="auto" w:sz="4" w:space="0"/>
            </w:tcBorders>
            <w:vAlign w:val="center"/>
          </w:tcPr>
          <w:p w14:paraId="2CCE06EB">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12E0599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交通管理</w:t>
            </w:r>
          </w:p>
        </w:tc>
        <w:tc>
          <w:tcPr>
            <w:tcW w:w="1268" w:type="pct"/>
            <w:tcBorders>
              <w:top w:val="single" w:color="auto" w:sz="4" w:space="0"/>
              <w:left w:val="single" w:color="auto" w:sz="4" w:space="0"/>
              <w:bottom w:val="single" w:color="auto" w:sz="4" w:space="0"/>
              <w:right w:val="single" w:color="auto" w:sz="4" w:space="0"/>
            </w:tcBorders>
            <w:vAlign w:val="center"/>
          </w:tcPr>
          <w:p w14:paraId="0E381DE0">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贺州市交通运输局</w:t>
            </w:r>
          </w:p>
        </w:tc>
        <w:tc>
          <w:tcPr>
            <w:tcW w:w="1624" w:type="pct"/>
            <w:tcBorders>
              <w:top w:val="single" w:color="auto" w:sz="4" w:space="0"/>
              <w:left w:val="single" w:color="auto" w:sz="4" w:space="0"/>
              <w:bottom w:val="single" w:color="auto" w:sz="4" w:space="0"/>
              <w:right w:val="single" w:color="auto" w:sz="4" w:space="0"/>
            </w:tcBorders>
            <w:vAlign w:val="center"/>
          </w:tcPr>
          <w:p w14:paraId="182C4FB2">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3380A3AE">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07253B32">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龙凤文</w:t>
            </w:r>
          </w:p>
        </w:tc>
        <w:tc>
          <w:tcPr>
            <w:tcW w:w="811" w:type="pct"/>
            <w:tcBorders>
              <w:top w:val="single" w:color="auto" w:sz="4" w:space="0"/>
              <w:left w:val="single" w:color="auto" w:sz="4" w:space="0"/>
              <w:bottom w:val="single" w:color="auto" w:sz="4" w:space="0"/>
              <w:right w:val="single" w:color="auto" w:sz="4" w:space="0"/>
            </w:tcBorders>
            <w:vAlign w:val="center"/>
          </w:tcPr>
          <w:p w14:paraId="1347784D">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000000" w:sz="2" w:space="0"/>
              <w:right w:val="single" w:color="auto" w:sz="4" w:space="0"/>
            </w:tcBorders>
            <w:vAlign w:val="center"/>
          </w:tcPr>
          <w:p w14:paraId="71E45687">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港口与航道建设管理</w:t>
            </w:r>
          </w:p>
        </w:tc>
        <w:tc>
          <w:tcPr>
            <w:tcW w:w="1268" w:type="pct"/>
            <w:tcBorders>
              <w:top w:val="single" w:color="auto" w:sz="4" w:space="0"/>
              <w:left w:val="single" w:color="auto" w:sz="4" w:space="0"/>
              <w:bottom w:val="single" w:color="auto" w:sz="4" w:space="0"/>
              <w:right w:val="single" w:color="auto" w:sz="4" w:space="0"/>
            </w:tcBorders>
            <w:vAlign w:val="center"/>
          </w:tcPr>
          <w:p w14:paraId="4C0473CF">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中交第二航务工程局有限公司</w:t>
            </w:r>
          </w:p>
        </w:tc>
        <w:tc>
          <w:tcPr>
            <w:tcW w:w="1624" w:type="pct"/>
            <w:tcBorders>
              <w:top w:val="single" w:color="auto" w:sz="4" w:space="0"/>
              <w:left w:val="single" w:color="auto" w:sz="4" w:space="0"/>
              <w:bottom w:val="single" w:color="auto" w:sz="4" w:space="0"/>
              <w:right w:val="single" w:color="auto" w:sz="4" w:space="0"/>
            </w:tcBorders>
            <w:vAlign w:val="center"/>
          </w:tcPr>
          <w:p w14:paraId="28424AC4">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r w14:paraId="570D81C8">
        <w:tblPrEx>
          <w:tblCellMar>
            <w:top w:w="0" w:type="dxa"/>
            <w:left w:w="108" w:type="dxa"/>
            <w:bottom w:w="0" w:type="dxa"/>
            <w:right w:w="108" w:type="dxa"/>
          </w:tblCellMar>
        </w:tblPrEx>
        <w:trPr>
          <w:cantSplit/>
          <w:trHeight w:val="517" w:hRule="atLeast"/>
        </w:trPr>
        <w:tc>
          <w:tcPr>
            <w:tcW w:w="544" w:type="pct"/>
            <w:tcBorders>
              <w:top w:val="single" w:color="auto" w:sz="4" w:space="0"/>
              <w:left w:val="single" w:color="auto" w:sz="4" w:space="0"/>
              <w:bottom w:val="single" w:color="auto" w:sz="4" w:space="0"/>
              <w:right w:val="single" w:color="008000" w:sz="4" w:space="0"/>
            </w:tcBorders>
            <w:vAlign w:val="center"/>
          </w:tcPr>
          <w:p w14:paraId="454E51A1">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钟远海</w:t>
            </w:r>
          </w:p>
        </w:tc>
        <w:tc>
          <w:tcPr>
            <w:tcW w:w="811" w:type="pct"/>
            <w:tcBorders>
              <w:top w:val="single" w:color="auto" w:sz="4" w:space="0"/>
              <w:left w:val="single" w:color="auto" w:sz="4" w:space="0"/>
              <w:bottom w:val="single" w:color="auto" w:sz="4" w:space="0"/>
              <w:right w:val="single" w:color="auto" w:sz="4" w:space="0"/>
            </w:tcBorders>
            <w:vAlign w:val="center"/>
          </w:tcPr>
          <w:p w14:paraId="13C6492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eastAsia="仿宋_GB2312"/>
                <w:color w:val="auto"/>
                <w:sz w:val="24"/>
              </w:rPr>
            </w:pPr>
            <w:r>
              <w:rPr>
                <w:rFonts w:hint="eastAsia" w:ascii="仿宋_GB2312" w:eastAsia="仿宋_GB2312"/>
                <w:color w:val="auto"/>
                <w:sz w:val="24"/>
              </w:rPr>
              <w:t>高级工程师</w:t>
            </w:r>
          </w:p>
        </w:tc>
        <w:tc>
          <w:tcPr>
            <w:tcW w:w="750" w:type="pct"/>
            <w:tcBorders>
              <w:top w:val="single" w:color="000000" w:sz="2" w:space="0"/>
              <w:left w:val="single" w:color="auto" w:sz="4" w:space="0"/>
              <w:bottom w:val="single" w:color="auto" w:sz="4" w:space="0"/>
              <w:right w:val="single" w:color="auto" w:sz="4" w:space="0"/>
            </w:tcBorders>
            <w:vAlign w:val="center"/>
          </w:tcPr>
          <w:p w14:paraId="70F7606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仿宋_GB2312" w:eastAsia="仿宋_GB2312"/>
                <w:color w:val="auto"/>
                <w:sz w:val="24"/>
              </w:rPr>
            </w:pPr>
            <w:r>
              <w:rPr>
                <w:rFonts w:hint="eastAsia" w:ascii="仿宋_GB2312" w:eastAsia="仿宋_GB2312"/>
                <w:color w:val="auto"/>
                <w:sz w:val="24"/>
              </w:rPr>
              <w:t>交通管理</w:t>
            </w:r>
          </w:p>
        </w:tc>
        <w:tc>
          <w:tcPr>
            <w:tcW w:w="1268" w:type="pct"/>
            <w:tcBorders>
              <w:top w:val="single" w:color="auto" w:sz="4" w:space="0"/>
              <w:left w:val="single" w:color="auto" w:sz="4" w:space="0"/>
              <w:bottom w:val="single" w:color="auto" w:sz="4" w:space="0"/>
              <w:right w:val="single" w:color="auto" w:sz="4" w:space="0"/>
            </w:tcBorders>
            <w:vAlign w:val="center"/>
          </w:tcPr>
          <w:p w14:paraId="1A0D867E">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贺州市交通运输局</w:t>
            </w:r>
          </w:p>
        </w:tc>
        <w:tc>
          <w:tcPr>
            <w:tcW w:w="1624" w:type="pct"/>
            <w:tcBorders>
              <w:top w:val="single" w:color="auto" w:sz="4" w:space="0"/>
              <w:left w:val="single" w:color="auto" w:sz="4" w:space="0"/>
              <w:bottom w:val="single" w:color="auto" w:sz="4" w:space="0"/>
              <w:right w:val="single" w:color="auto" w:sz="4" w:space="0"/>
            </w:tcBorders>
            <w:vAlign w:val="center"/>
          </w:tcPr>
          <w:p w14:paraId="7E3BA5B6">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标准起草、实施宣贯、培训</w:t>
            </w:r>
          </w:p>
        </w:tc>
      </w:tr>
    </w:tbl>
    <w:p w14:paraId="6BE1CEB3">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二、制定标准的必要性和意义</w:t>
      </w:r>
    </w:p>
    <w:p w14:paraId="5A28A82A">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2025年6月，交通运输部等六部委《关于推动内河航运高质量发展的意见》(交水发(2025)60号)，明确提出加快构建畅通高效、绿色智慧、安全韧性、保障有力的现代化内河航运体系，更好服务经济社会发展。</w:t>
      </w:r>
    </w:p>
    <w:p w14:paraId="3C2D17CE">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color w:val="auto"/>
          <w:szCs w:val="28"/>
        </w:rPr>
      </w:pPr>
      <w:r>
        <w:rPr>
          <w:rFonts w:hint="eastAsia" w:ascii="仿宋_GB2312" w:hAnsi="宋体"/>
          <w:color w:val="auto"/>
          <w:szCs w:val="28"/>
        </w:rPr>
        <w:t>内河航运是综合交通运输体系的重要组成部分，具有运能大、成本低、能耗少、污染轻的显著优势，在服务国家重大战略、促进区域协调发展、保障产业链供应链稳定中发挥着不可替代的作用。近年来，内河航道能力持续提升，2025年前五个月，全国内河货运量已超过20亿吨，同比增长近4%，预计当年还将新增高等级航道里程900公里。内河航运横贯东西、连接南北，是我国现代综合立体交通网的骨干网络，其畅通与否直接关系沿江沿河地区的物流效率、产业布局和经济发展大局。然而，内河航运的持续运行高度依赖稳定可靠的航道水深和通航流量。航运用水本质上是河道内用水，通过船闸运行实现船舶过坝，虽不消耗水量但需要占用河道内一定的流量资源。随着内河货运量持续增长、船舶大型化趋势加快，航道用水需求不断增加。与此同时，我国水资源时空分布不均，流域来水丰枯变化显著，加之气候变化导致极端水文事件频发，枯水期航道用水与生活、农业、工业及生态用水之间的竞争日益激烈。根据现行水资源调度管理规定，水资源调度应当优先满足生活用水，保障基本生态用水，统筹农业、工业用水以及航运等需要，航运调度应当服从流域水资源统一调度。这意味着，航运用水在法律地位上并不具备优先权，在枯水年或连续枯</w:t>
      </w:r>
    </w:p>
    <w:p w14:paraId="50CB399D">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color w:val="auto"/>
          <w:szCs w:val="28"/>
        </w:rPr>
      </w:pPr>
      <w:r>
        <w:rPr>
          <w:rFonts w:hint="eastAsia" w:ascii="仿宋_GB2312" w:hAnsi="宋体"/>
          <w:color w:val="auto"/>
          <w:szCs w:val="28"/>
        </w:rPr>
        <w:t>水条件下，航运用水往往成为被削减的对象。以平陆运河这一国家战略工程为例，其作为西部陆海新通道的关键组成部分，建成后将形成亿吨级水运大动脉，对区域经济格局产生深远影响。然而，该工程的航运用水保障面临严峻挑战。研究表明，在现有水工程调度规则下，平陆运河取水与下游贵港断面生态流量之间形成了显著的竞争关系。贵港断面生态流量月保证率远未达到规划目标。这意味着，新增的航运用水实质上挤占了本应保障河流健康的关键水量，若处置不当，将直接引发区域用水争端，威胁流域水生态安全。这种矛盾并非平陆运河独有，而是内河航道普遍面临的水资源分配困局。</w:t>
      </w:r>
    </w:p>
    <w:p w14:paraId="50C39573">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color w:val="auto"/>
          <w:szCs w:val="28"/>
        </w:rPr>
        <w:t>航运用水保障的重要性，不仅在于维持航道基本通航条件，更在于其关乎区域经济命脉和应急物资保障能力。一旦航道因缺水而断航或通行效率大幅下降，沿江企业的原材料供应和产品外运将被迫转向铁路或公路运输，运输成本大幅攀升，供应链稳定性受到严重冲击。在内河水运量持续增长、航道网络不断加密的背景下，航运用水保障已经从单纯的技术问题上升为关系区域经济安全和战略通道畅通的系统性命题。当前，我国针对内河航道用水保障的专项技术标准尚属空白。现有规范多侧重于航道工程设计、施工及通航建筑物运行，对于如何系统评估航运用水风险、如何协调河道内外用水户利益、如何在枯水年或连续枯水条件下实施应急调度，缺乏明确、统一的技术指引。</w:t>
      </w:r>
    </w:p>
    <w:p w14:paraId="7A493052">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制定团体标准《</w:t>
      </w:r>
      <w:r>
        <w:rPr>
          <w:rFonts w:hint="eastAsia" w:ascii="仿宋_GB2312" w:hAnsi="宋体"/>
          <w:color w:val="auto"/>
          <w:sz w:val="32"/>
          <w:szCs w:val="28"/>
          <w:lang w:eastAsia="zh-CN"/>
        </w:rPr>
        <w:t>内河航道用水量保障与应急规范</w:t>
      </w:r>
      <w:r>
        <w:rPr>
          <w:rFonts w:hint="eastAsia" w:ascii="仿宋_GB2312" w:hAnsi="宋体" w:eastAsia="仿宋_GB2312"/>
          <w:color w:val="auto"/>
          <w:sz w:val="32"/>
          <w:szCs w:val="28"/>
        </w:rPr>
        <w:t>》，不仅能够填补国内该领域技术标准的空白，更是保障国家水运战略通道安全、化解流域用水矛盾、提升水资源集约利用水平的要求。</w:t>
      </w:r>
    </w:p>
    <w:p w14:paraId="64CFA7EF">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三、主要起草过程</w:t>
      </w:r>
    </w:p>
    <w:p w14:paraId="0D6A5644">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olor w:val="auto"/>
          <w:sz w:val="32"/>
          <w:szCs w:val="28"/>
        </w:rPr>
      </w:pPr>
      <w:r>
        <w:rPr>
          <w:rFonts w:hint="eastAsia" w:ascii="楷体" w:hAnsi="楷体" w:eastAsia="楷体" w:cs="仿宋_GB2312"/>
          <w:b/>
          <w:color w:val="auto"/>
          <w:sz w:val="32"/>
          <w:szCs w:val="28"/>
        </w:rPr>
        <w:t>（一）成立标准编制工作组</w:t>
      </w:r>
    </w:p>
    <w:p w14:paraId="437C2B6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团体标准《</w:t>
      </w:r>
      <w:r>
        <w:rPr>
          <w:rFonts w:hint="eastAsia" w:ascii="仿宋_GB2312" w:hAnsi="宋体"/>
          <w:color w:val="auto"/>
          <w:szCs w:val="28"/>
          <w:lang w:eastAsia="zh-CN"/>
        </w:rPr>
        <w:t>内河航道用水量保障与应急规范</w:t>
      </w:r>
      <w:r>
        <w:rPr>
          <w:rFonts w:hint="eastAsia" w:ascii="仿宋_GB2312" w:hAnsi="宋体" w:eastAsia="仿宋_GB2312"/>
          <w:color w:val="auto"/>
          <w:sz w:val="32"/>
          <w:szCs w:val="28"/>
        </w:rPr>
        <w:t>》项目任务下达后</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广西交科集团有限公司</w:t>
      </w:r>
      <w:r>
        <w:rPr>
          <w:rFonts w:hint="eastAsia" w:ascii="仿宋_GB2312" w:hAnsi="宋体" w:eastAsia="仿宋_GB2312"/>
          <w:color w:val="auto"/>
          <w:sz w:val="32"/>
          <w:szCs w:val="28"/>
          <w:highlight w:val="none"/>
        </w:rPr>
        <w:t>成立了标准编制工作组，</w:t>
      </w:r>
      <w:r>
        <w:rPr>
          <w:rFonts w:hint="eastAsia" w:ascii="仿宋_GB2312" w:hAnsi="宋体"/>
          <w:color w:val="auto"/>
          <w:sz w:val="32"/>
          <w:szCs w:val="28"/>
          <w:highlight w:val="none"/>
          <w:lang w:val="en-US" w:eastAsia="zh-CN"/>
        </w:rPr>
        <w:t>并</w:t>
      </w:r>
      <w:r>
        <w:rPr>
          <w:rFonts w:hint="eastAsia" w:ascii="仿宋_GB2312" w:hAnsi="宋体" w:eastAsia="仿宋_GB2312"/>
          <w:color w:val="auto"/>
          <w:sz w:val="32"/>
          <w:szCs w:val="28"/>
          <w:highlight w:val="none"/>
        </w:rPr>
        <w:t>制定了起草编写方案与进度安排，明确任务职责，确定工作技术路线，开展标准研制工作。具体标准编制工作由</w:t>
      </w:r>
      <w:r>
        <w:rPr>
          <w:rFonts w:hint="eastAsia" w:ascii="仿宋_GB2312" w:hAnsi="宋体"/>
          <w:color w:val="auto"/>
          <w:sz w:val="32"/>
          <w:szCs w:val="28"/>
          <w:highlight w:val="none"/>
          <w:lang w:val="en-US" w:eastAsia="zh-CN"/>
        </w:rPr>
        <w:t>广西交科集团有限公司、广西珠委南宁勘测设计院有限公司、广西壮族自治区水运发展中心、中交第二航务工程局有限公司、贺州市交通运输局</w:t>
      </w:r>
      <w:r>
        <w:rPr>
          <w:rFonts w:hint="eastAsia" w:ascii="仿宋_GB2312" w:hAnsi="宋体" w:eastAsia="仿宋_GB2312"/>
          <w:color w:val="auto"/>
          <w:sz w:val="32"/>
          <w:szCs w:val="28"/>
          <w:highlight w:val="none"/>
        </w:rPr>
        <w:t>等单位负责人组成的标</w:t>
      </w:r>
      <w:r>
        <w:rPr>
          <w:rFonts w:hint="eastAsia" w:ascii="仿宋_GB2312" w:hAnsi="宋体" w:eastAsia="仿宋_GB2312"/>
          <w:color w:val="auto"/>
          <w:sz w:val="32"/>
          <w:szCs w:val="28"/>
        </w:rPr>
        <w:t>准编制工作组完成。</w:t>
      </w:r>
    </w:p>
    <w:p w14:paraId="0D99A07B">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编制工作组下设三个组，分别是资料收集组、草案编写组、标准实施组。</w:t>
      </w:r>
    </w:p>
    <w:p w14:paraId="59AE398B">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资料收集组负责国内外</w:t>
      </w:r>
      <w:r>
        <w:rPr>
          <w:rFonts w:hint="eastAsia" w:ascii="仿宋_GB2312" w:hAnsi="宋体"/>
          <w:color w:val="auto"/>
          <w:sz w:val="32"/>
          <w:szCs w:val="28"/>
          <w:lang w:val="en-US" w:eastAsia="zh-CN"/>
        </w:rPr>
        <w:t>与</w:t>
      </w:r>
      <w:r>
        <w:rPr>
          <w:rFonts w:hint="eastAsia" w:ascii="仿宋_GB2312" w:hAnsi="宋体"/>
          <w:color w:val="auto"/>
          <w:szCs w:val="28"/>
        </w:rPr>
        <w:t>内河航道用水保障与应急</w:t>
      </w:r>
      <w:r>
        <w:rPr>
          <w:rFonts w:hint="eastAsia" w:ascii="仿宋_GB2312" w:hAnsi="宋体"/>
          <w:color w:val="auto"/>
          <w:sz w:val="32"/>
          <w:szCs w:val="28"/>
          <w:lang w:val="en-US" w:eastAsia="zh-CN"/>
        </w:rPr>
        <w:t>相关</w:t>
      </w:r>
      <w:r>
        <w:rPr>
          <w:rFonts w:hint="eastAsia" w:ascii="仿宋_GB2312" w:hAnsi="宋体" w:eastAsia="仿宋_GB2312"/>
          <w:color w:val="auto"/>
          <w:sz w:val="32"/>
          <w:szCs w:val="28"/>
        </w:rPr>
        <w:t>的文献资料的查询、收集和整理工作，查阅前人对</w:t>
      </w:r>
      <w:r>
        <w:rPr>
          <w:rFonts w:hint="eastAsia" w:ascii="仿宋_GB2312" w:hAnsi="宋体"/>
          <w:color w:val="auto"/>
          <w:szCs w:val="28"/>
        </w:rPr>
        <w:t>内河航道用水保障与应急</w:t>
      </w:r>
      <w:r>
        <w:rPr>
          <w:rFonts w:hint="eastAsia" w:ascii="仿宋_GB2312" w:hAnsi="宋体"/>
          <w:color w:val="auto"/>
          <w:szCs w:val="28"/>
          <w:lang w:val="en-US" w:eastAsia="zh-CN"/>
        </w:rPr>
        <w:t>工作</w:t>
      </w:r>
      <w:r>
        <w:rPr>
          <w:rFonts w:hint="eastAsia" w:ascii="仿宋_GB2312" w:hAnsi="宋体" w:eastAsia="仿宋_GB2312"/>
          <w:color w:val="auto"/>
          <w:sz w:val="32"/>
          <w:szCs w:val="28"/>
        </w:rPr>
        <w:t>的研究情况。</w:t>
      </w:r>
    </w:p>
    <w:p w14:paraId="0BE25F71">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草案编写组负责起草标准草案、征求意见稿和标准编制说明、送审稿及编制说明的编写工作，包括后期召开征求意见会、网上征求意见，以及标准的不断修改和完善。</w:t>
      </w:r>
    </w:p>
    <w:p w14:paraId="067432A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标准实施组负责团体标准《</w:t>
      </w:r>
      <w:r>
        <w:rPr>
          <w:rFonts w:hint="eastAsia" w:ascii="仿宋_GB2312" w:hAnsi="宋体"/>
          <w:color w:val="auto"/>
          <w:sz w:val="32"/>
          <w:szCs w:val="28"/>
          <w:lang w:eastAsia="zh-CN"/>
        </w:rPr>
        <w:t>内河航道用水量保障与应急规范</w:t>
      </w:r>
      <w:r>
        <w:rPr>
          <w:rFonts w:hint="eastAsia" w:ascii="仿宋_GB2312" w:hAnsi="宋体" w:eastAsia="仿宋_GB2312"/>
          <w:color w:val="auto"/>
          <w:sz w:val="32"/>
          <w:szCs w:val="28"/>
        </w:rPr>
        <w:t>》发布后，组织相关企事业单位开展标准宣贯培训会，对标准进行详细解读，让相关人员了解标准，并根据标准规范化</w:t>
      </w:r>
      <w:r>
        <w:rPr>
          <w:rFonts w:hint="eastAsia" w:ascii="仿宋_GB2312" w:hAnsi="宋体"/>
          <w:color w:val="auto"/>
          <w:sz w:val="32"/>
          <w:szCs w:val="28"/>
          <w:lang w:val="en-US" w:eastAsia="zh-CN"/>
        </w:rPr>
        <w:t>开展</w:t>
      </w:r>
      <w:r>
        <w:rPr>
          <w:rFonts w:hint="eastAsia" w:ascii="仿宋_GB2312" w:hAnsi="宋体"/>
          <w:color w:val="auto"/>
          <w:szCs w:val="28"/>
        </w:rPr>
        <w:t>内河航道用水保障与应急</w:t>
      </w:r>
      <w:r>
        <w:rPr>
          <w:rFonts w:hint="eastAsia" w:ascii="仿宋_GB2312" w:hAnsi="宋体"/>
          <w:color w:val="auto"/>
          <w:sz w:val="32"/>
          <w:szCs w:val="28"/>
          <w:lang w:val="en-US" w:eastAsia="zh-CN"/>
        </w:rPr>
        <w:t>工作</w:t>
      </w:r>
      <w:r>
        <w:rPr>
          <w:rFonts w:hint="eastAsia" w:ascii="仿宋_GB2312" w:hAnsi="宋体" w:eastAsia="仿宋_GB2312"/>
          <w:color w:val="auto"/>
          <w:sz w:val="32"/>
          <w:szCs w:val="28"/>
        </w:rPr>
        <w:t>，并对标准实施情况进行总结分析，不断对团体标准提出修正意见。</w:t>
      </w:r>
    </w:p>
    <w:p w14:paraId="32C78715">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s="仿宋_GB2312"/>
          <w:b/>
          <w:color w:val="auto"/>
          <w:sz w:val="32"/>
          <w:szCs w:val="28"/>
        </w:rPr>
      </w:pPr>
      <w:r>
        <w:rPr>
          <w:rFonts w:hint="eastAsia" w:ascii="楷体" w:hAnsi="楷体" w:eastAsia="楷体" w:cs="仿宋_GB2312"/>
          <w:b/>
          <w:color w:val="auto"/>
          <w:sz w:val="32"/>
          <w:szCs w:val="28"/>
        </w:rPr>
        <w:t>（二）收集整理文献资料</w:t>
      </w:r>
    </w:p>
    <w:p w14:paraId="2B9611BD">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lang w:val="fr-FR"/>
        </w:rPr>
      </w:pPr>
      <w:r>
        <w:rPr>
          <w:rFonts w:hint="eastAsia" w:ascii="仿宋_GB2312" w:hAnsi="宋体" w:eastAsia="仿宋_GB2312"/>
          <w:color w:val="auto"/>
          <w:sz w:val="32"/>
          <w:szCs w:val="28"/>
        </w:rPr>
        <w:t>标准编制工作组收集了国内有关</w:t>
      </w:r>
      <w:r>
        <w:rPr>
          <w:rFonts w:hint="eastAsia" w:ascii="仿宋_GB2312" w:hAnsi="宋体"/>
          <w:color w:val="auto"/>
          <w:szCs w:val="28"/>
        </w:rPr>
        <w:t>内河航道用水保障与应急</w:t>
      </w:r>
      <w:r>
        <w:rPr>
          <w:rFonts w:hint="eastAsia" w:ascii="仿宋_GB2312" w:hAnsi="宋体" w:eastAsia="仿宋_GB2312"/>
          <w:color w:val="auto"/>
          <w:sz w:val="32"/>
          <w:szCs w:val="28"/>
        </w:rPr>
        <w:t>相关文献资料。主要有</w:t>
      </w:r>
      <w:r>
        <w:rPr>
          <w:rFonts w:hint="eastAsia" w:ascii="仿宋_GB2312" w:hAnsi="宋体" w:eastAsia="仿宋_GB2312"/>
          <w:color w:val="auto"/>
          <w:sz w:val="32"/>
          <w:szCs w:val="28"/>
          <w:lang w:val="fr-FR"/>
        </w:rPr>
        <w:t>：</w:t>
      </w:r>
    </w:p>
    <w:p w14:paraId="373342B9">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color w:val="auto"/>
          <w:sz w:val="32"/>
          <w:szCs w:val="28"/>
          <w:lang w:eastAsia="zh-CN"/>
        </w:rPr>
        <w:t>《</w:t>
      </w:r>
      <w:r>
        <w:rPr>
          <w:rFonts w:hint="eastAsia" w:ascii="仿宋_GB2312" w:hAnsi="宋体" w:eastAsia="仿宋_GB2312"/>
          <w:color w:val="auto"/>
          <w:sz w:val="32"/>
          <w:szCs w:val="28"/>
        </w:rPr>
        <w:t>T/XJBX 0192-2026</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平陆运河水资源联合调度与管理规程</w:t>
      </w:r>
      <w:r>
        <w:rPr>
          <w:rFonts w:hint="eastAsia" w:ascii="仿宋_GB2312" w:hAnsi="宋体"/>
          <w:color w:val="auto"/>
          <w:sz w:val="32"/>
          <w:szCs w:val="28"/>
          <w:lang w:eastAsia="zh-CN"/>
        </w:rPr>
        <w:t>》《</w:t>
      </w:r>
      <w:r>
        <w:rPr>
          <w:rFonts w:hint="eastAsia" w:ascii="仿宋_GB2312" w:hAnsi="宋体" w:eastAsia="仿宋_GB2312"/>
          <w:color w:val="auto"/>
          <w:sz w:val="32"/>
          <w:szCs w:val="28"/>
        </w:rPr>
        <w:t>T/CTESGS 02-2024</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河流水电及航运规划水资源论证技术导则</w:t>
      </w:r>
      <w:r>
        <w:rPr>
          <w:rFonts w:hint="eastAsia" w:ascii="仿宋_GB2312" w:hAnsi="宋体"/>
          <w:color w:val="auto"/>
          <w:sz w:val="32"/>
          <w:szCs w:val="28"/>
          <w:lang w:eastAsia="zh-CN"/>
        </w:rPr>
        <w:t>》《</w:t>
      </w:r>
      <w:r>
        <w:rPr>
          <w:rFonts w:hint="eastAsia" w:ascii="仿宋_GB2312" w:hAnsi="宋体" w:eastAsia="仿宋_GB2312"/>
          <w:color w:val="auto"/>
          <w:sz w:val="32"/>
          <w:szCs w:val="28"/>
        </w:rPr>
        <w:t>GB/T 50587-2010</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水库调度设计规范</w:t>
      </w:r>
      <w:r>
        <w:rPr>
          <w:rFonts w:hint="eastAsia" w:ascii="仿宋_GB2312" w:hAnsi="宋体"/>
          <w:color w:val="auto"/>
          <w:sz w:val="32"/>
          <w:szCs w:val="28"/>
          <w:lang w:eastAsia="zh-CN"/>
        </w:rPr>
        <w:t>》《</w:t>
      </w:r>
      <w:r>
        <w:rPr>
          <w:rFonts w:hint="eastAsia" w:ascii="仿宋_GB2312" w:hAnsi="宋体" w:eastAsia="仿宋_GB2312"/>
          <w:color w:val="auto"/>
          <w:sz w:val="32"/>
          <w:szCs w:val="28"/>
        </w:rPr>
        <w:t>DL/T1666-2016</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水电站水调自动化系统技术条件</w:t>
      </w:r>
      <w:r>
        <w:rPr>
          <w:rFonts w:hint="eastAsia" w:ascii="仿宋_GB2312" w:hAnsi="宋体"/>
          <w:color w:val="auto"/>
          <w:sz w:val="32"/>
          <w:szCs w:val="28"/>
          <w:lang w:eastAsia="zh-CN"/>
        </w:rPr>
        <w:t>》《</w:t>
      </w:r>
      <w:r>
        <w:rPr>
          <w:rFonts w:hint="eastAsia" w:ascii="仿宋_GB2312" w:hAnsi="宋体" w:eastAsia="仿宋_GB2312"/>
          <w:color w:val="auto"/>
          <w:sz w:val="32"/>
          <w:szCs w:val="28"/>
        </w:rPr>
        <w:t>DL/T2466-2021</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梯级水电厂智慧调度技术导则</w:t>
      </w:r>
      <w:r>
        <w:rPr>
          <w:rFonts w:hint="eastAsia" w:ascii="仿宋_GB2312" w:hAnsi="宋体"/>
          <w:color w:val="auto"/>
          <w:sz w:val="32"/>
          <w:szCs w:val="28"/>
          <w:lang w:eastAsia="zh-CN"/>
        </w:rPr>
        <w:t>》《</w:t>
      </w:r>
      <w:r>
        <w:rPr>
          <w:rFonts w:hint="eastAsia" w:ascii="仿宋_GB2312" w:hAnsi="宋体" w:eastAsia="仿宋_GB2312"/>
          <w:color w:val="auto"/>
          <w:sz w:val="32"/>
          <w:szCs w:val="28"/>
        </w:rPr>
        <w:t>NB/T 35001-2024</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梯级水电站水调自动化系统设计规范</w:t>
      </w:r>
      <w:r>
        <w:rPr>
          <w:rFonts w:hint="eastAsia" w:ascii="仿宋_GB2312" w:hAnsi="宋体"/>
          <w:color w:val="auto"/>
          <w:sz w:val="32"/>
          <w:szCs w:val="28"/>
          <w:lang w:eastAsia="zh-CN"/>
        </w:rPr>
        <w:t>》《</w:t>
      </w:r>
      <w:r>
        <w:rPr>
          <w:rFonts w:hint="eastAsia" w:ascii="仿宋_GB2312" w:hAnsi="宋体" w:eastAsia="仿宋_GB2312"/>
          <w:color w:val="auto"/>
          <w:sz w:val="32"/>
          <w:szCs w:val="28"/>
        </w:rPr>
        <w:t>SL706-2015</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水库调度规程编制导则</w:t>
      </w:r>
      <w:r>
        <w:rPr>
          <w:rFonts w:hint="eastAsia" w:ascii="仿宋_GB2312" w:hAnsi="宋体"/>
          <w:color w:val="auto"/>
          <w:sz w:val="32"/>
          <w:szCs w:val="28"/>
          <w:lang w:eastAsia="zh-CN"/>
        </w:rPr>
        <w:t>》《</w:t>
      </w:r>
      <w:r>
        <w:rPr>
          <w:rFonts w:hint="eastAsia" w:ascii="仿宋_GB2312" w:hAnsi="宋体" w:eastAsia="仿宋_GB2312"/>
          <w:color w:val="auto"/>
          <w:sz w:val="32"/>
          <w:szCs w:val="28"/>
        </w:rPr>
        <w:t>SL/T844-2025</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江河流域水资源调度技术导则</w:t>
      </w:r>
      <w:r>
        <w:rPr>
          <w:rFonts w:hint="eastAsia" w:ascii="仿宋_GB2312" w:hAnsi="宋体"/>
          <w:color w:val="auto"/>
          <w:sz w:val="32"/>
          <w:szCs w:val="28"/>
          <w:lang w:eastAsia="zh-CN"/>
        </w:rPr>
        <w:t>》《</w:t>
      </w:r>
      <w:r>
        <w:rPr>
          <w:rFonts w:hint="eastAsia" w:ascii="仿宋_GB2312" w:hAnsi="宋体" w:eastAsia="仿宋_GB2312"/>
          <w:color w:val="auto"/>
          <w:sz w:val="32"/>
          <w:szCs w:val="28"/>
        </w:rPr>
        <w:t>SL/T851-2025</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调水工程调度管理规程</w:t>
      </w:r>
      <w:r>
        <w:rPr>
          <w:rFonts w:hint="eastAsia" w:ascii="仿宋_GB2312" w:hAnsi="宋体"/>
          <w:color w:val="auto"/>
          <w:sz w:val="32"/>
          <w:szCs w:val="28"/>
          <w:lang w:eastAsia="zh-CN"/>
        </w:rPr>
        <w:t>》</w:t>
      </w:r>
      <w:r>
        <w:rPr>
          <w:rFonts w:hint="eastAsia" w:ascii="仿宋_GB2312" w:hAnsi="宋体" w:eastAsia="仿宋_GB2312"/>
          <w:color w:val="auto"/>
          <w:sz w:val="32"/>
          <w:szCs w:val="28"/>
        </w:rPr>
        <w:t>。</w:t>
      </w:r>
    </w:p>
    <w:p w14:paraId="44937C7D">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s="仿宋_GB2312"/>
          <w:b/>
          <w:color w:val="auto"/>
          <w:sz w:val="32"/>
          <w:szCs w:val="28"/>
        </w:rPr>
      </w:pPr>
      <w:r>
        <w:rPr>
          <w:rFonts w:hint="eastAsia" w:ascii="楷体" w:hAnsi="楷体" w:eastAsia="楷体" w:cs="仿宋_GB2312"/>
          <w:b/>
          <w:color w:val="auto"/>
          <w:sz w:val="32"/>
          <w:szCs w:val="28"/>
        </w:rPr>
        <w:t>（三）研讨确定标准</w:t>
      </w:r>
      <w:r>
        <w:rPr>
          <w:rFonts w:hint="eastAsia" w:ascii="楷体" w:hAnsi="楷体" w:eastAsia="楷体" w:cs="仿宋_GB2312"/>
          <w:b/>
          <w:color w:val="auto"/>
          <w:sz w:val="32"/>
          <w:szCs w:val="28"/>
          <w:lang w:val="en-US" w:eastAsia="zh-CN"/>
        </w:rPr>
        <w:t>特色、创新点、</w:t>
      </w:r>
      <w:r>
        <w:rPr>
          <w:rFonts w:hint="eastAsia" w:ascii="楷体" w:hAnsi="楷体" w:eastAsia="楷体" w:cs="仿宋_GB2312"/>
          <w:b/>
          <w:color w:val="auto"/>
          <w:sz w:val="32"/>
          <w:szCs w:val="28"/>
        </w:rPr>
        <w:t>主体内容</w:t>
      </w:r>
    </w:p>
    <w:p w14:paraId="2963878A">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28"/>
          <w:lang w:val="en-US" w:eastAsia="zh-CN"/>
        </w:rPr>
      </w:pPr>
      <w:r>
        <w:rPr>
          <w:rFonts w:hint="eastAsia" w:ascii="仿宋_GB2312" w:hAnsi="宋体"/>
          <w:color w:val="auto"/>
          <w:sz w:val="32"/>
          <w:szCs w:val="28"/>
          <w:lang w:val="en-US" w:eastAsia="zh-CN"/>
        </w:rPr>
        <w:t>1、创新点</w:t>
      </w:r>
    </w:p>
    <w:p w14:paraId="1660FE4D">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28"/>
          <w:lang w:val="en-US" w:eastAsia="zh-CN"/>
        </w:rPr>
      </w:pPr>
      <w:r>
        <w:rPr>
          <w:rFonts w:hint="eastAsia" w:ascii="仿宋_GB2312" w:hAnsi="宋体"/>
          <w:color w:val="auto"/>
          <w:sz w:val="32"/>
          <w:szCs w:val="28"/>
          <w:lang w:val="en-US" w:eastAsia="zh-CN"/>
        </w:rPr>
        <w:t>（1）系统整合生活、工业等六类全维度用水数据，结合百色、澄碧河等6库实际布局，构建兼顾供水、生态航运、发电三大核心目标，且包含多类约束条件的近远期航运用水保障分析模型，实现数据覆盖的全面性与模型应用的针对性结合。</w:t>
      </w:r>
    </w:p>
    <w:p w14:paraId="1A9C50C7">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28"/>
          <w:lang w:val="en-US" w:eastAsia="zh-CN"/>
        </w:rPr>
      </w:pPr>
      <w:r>
        <w:rPr>
          <w:rFonts w:hint="eastAsia" w:ascii="仿宋_GB2312" w:hAnsi="宋体"/>
          <w:color w:val="auto"/>
          <w:sz w:val="32"/>
          <w:szCs w:val="28"/>
          <w:lang w:val="en-US" w:eastAsia="zh-CN"/>
        </w:rPr>
        <w:t>（2）采用粒子群优化算法(PS0)与遗传算法(GA)对比优化，科学选定更适配六库联合调度的算法;同时通过目标函数归一化、六库灵活权重赋值，结合三大典型工况模拟，实现多指标综合评估，提升方案的可行性与精准度。</w:t>
      </w:r>
    </w:p>
    <w:p w14:paraId="2A81DD5F">
      <w:pPr>
        <w:keepNext w:val="0"/>
        <w:keepLines w:val="0"/>
        <w:pageBreakBefore w:val="0"/>
        <w:kinsoku/>
        <w:overflowPunct/>
        <w:topLinePunct w:val="0"/>
        <w:bidi w:val="0"/>
        <w:snapToGrid/>
        <w:ind w:left="0" w:firstLine="640" w:firstLineChars="200"/>
        <w:textAlignment w:val="auto"/>
        <w:rPr>
          <w:rFonts w:hint="default" w:ascii="仿宋_GB2312" w:hAnsi="宋体"/>
          <w:color w:val="auto"/>
          <w:sz w:val="32"/>
          <w:szCs w:val="28"/>
          <w:lang w:val="en-US" w:eastAsia="zh-CN"/>
        </w:rPr>
      </w:pPr>
      <w:r>
        <w:rPr>
          <w:rFonts w:hint="eastAsia" w:ascii="仿宋_GB2312" w:hAnsi="宋体"/>
          <w:color w:val="auto"/>
          <w:sz w:val="32"/>
          <w:szCs w:val="28"/>
          <w:lang w:val="en-US" w:eastAsia="zh-CN"/>
        </w:rPr>
        <w:t>2、主体内容</w:t>
      </w:r>
    </w:p>
    <w:p w14:paraId="691B939C">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标准编制工作组在对收集的资料进行整理研究之后，标准编制工作组召开了标准编制会议，对标准的整体框架结构进行了研究，并对标准的关键性内容进行了初步探讨。经过研究，标准的主体内容确定为</w:t>
      </w:r>
      <w:r>
        <w:rPr>
          <w:rFonts w:hint="eastAsia" w:ascii="仿宋_GB2312" w:hAnsi="宋体"/>
          <w:color w:val="auto"/>
          <w:sz w:val="32"/>
          <w:szCs w:val="28"/>
          <w:highlight w:val="none"/>
          <w:lang w:val="en-US" w:eastAsia="zh-CN"/>
        </w:rPr>
        <w:t>基本要求、用水量确定、水量保障、水量调度、监测与预警、应急管理、评估与改进的要求</w:t>
      </w:r>
      <w:r>
        <w:rPr>
          <w:rFonts w:hint="eastAsia" w:ascii="仿宋_GB2312" w:hAnsi="宋体" w:eastAsia="仿宋_GB2312"/>
          <w:color w:val="auto"/>
          <w:sz w:val="32"/>
          <w:szCs w:val="28"/>
        </w:rPr>
        <w:t>。</w:t>
      </w:r>
    </w:p>
    <w:p w14:paraId="61FABD75">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s="仿宋_GB2312"/>
          <w:b/>
          <w:color w:val="auto"/>
          <w:sz w:val="32"/>
          <w:szCs w:val="28"/>
        </w:rPr>
      </w:pPr>
      <w:r>
        <w:rPr>
          <w:rFonts w:hint="eastAsia" w:ascii="楷体" w:hAnsi="楷体" w:eastAsia="楷体" w:cs="仿宋_GB2312"/>
          <w:b/>
          <w:color w:val="auto"/>
          <w:sz w:val="32"/>
          <w:szCs w:val="28"/>
        </w:rPr>
        <w:t>（四）调研及形成草案、征求意见稿</w:t>
      </w:r>
    </w:p>
    <w:p w14:paraId="6B43200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4</w:t>
      </w:r>
      <w:r>
        <w:rPr>
          <w:rFonts w:hint="eastAsia" w:ascii="仿宋_GB2312" w:hAnsi="宋体" w:eastAsia="仿宋_GB2312"/>
          <w:color w:val="auto"/>
          <w:sz w:val="32"/>
          <w:szCs w:val="28"/>
        </w:rPr>
        <w:t>月，标准起草工作小组进行了广泛调研工作，查阅了大量的国内外文献资料，对内河航道用水保障与应急</w:t>
      </w:r>
      <w:r>
        <w:rPr>
          <w:rFonts w:hint="eastAsia" w:ascii="仿宋_GB2312" w:hAnsi="宋体"/>
          <w:color w:val="auto"/>
          <w:sz w:val="32"/>
          <w:szCs w:val="28"/>
          <w:lang w:val="en-US" w:eastAsia="zh-CN"/>
        </w:rPr>
        <w:t>工作</w:t>
      </w:r>
      <w:r>
        <w:rPr>
          <w:rFonts w:hint="eastAsia" w:ascii="仿宋_GB2312" w:hAnsi="宋体" w:eastAsia="仿宋_GB2312"/>
          <w:color w:val="auto"/>
          <w:sz w:val="32"/>
          <w:szCs w:val="28"/>
        </w:rPr>
        <w:t>的前人研究成果进行系统总结。形成了标准的基本构架，对主要内容进行了讨论并对项目的工作进行了部署和安排。</w:t>
      </w:r>
    </w:p>
    <w:p w14:paraId="09305CF3">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5</w:t>
      </w:r>
      <w:r>
        <w:rPr>
          <w:rFonts w:hint="eastAsia" w:ascii="仿宋_GB2312" w:hAnsi="宋体" w:eastAsia="仿宋_GB2312"/>
          <w:color w:val="auto"/>
          <w:sz w:val="32"/>
          <w:szCs w:val="28"/>
        </w:rPr>
        <w:t>月，在前期工作的基础之上，通过理清逻辑脉络，整合已有的参考资料中有关内河航道用水保障与应急要求，并结合实际要求的基础上，按照简化、统一等原则编制完成团体标准《</w:t>
      </w:r>
      <w:r>
        <w:rPr>
          <w:rFonts w:hint="eastAsia" w:ascii="仿宋_GB2312" w:hAnsi="宋体"/>
          <w:color w:val="auto"/>
          <w:sz w:val="32"/>
          <w:szCs w:val="28"/>
          <w:lang w:eastAsia="zh-CN"/>
        </w:rPr>
        <w:t>内河航道用水量保障与应急规范</w:t>
      </w:r>
      <w:r>
        <w:rPr>
          <w:rFonts w:hint="eastAsia" w:ascii="仿宋_GB2312" w:hAnsi="宋体" w:eastAsia="仿宋_GB2312"/>
          <w:color w:val="auto"/>
          <w:sz w:val="32"/>
          <w:szCs w:val="28"/>
        </w:rPr>
        <w:t>》（草案）。</w:t>
      </w:r>
    </w:p>
    <w:p w14:paraId="1F6A96F1">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6</w:t>
      </w:r>
      <w:r>
        <w:rPr>
          <w:rFonts w:hint="eastAsia" w:ascii="仿宋_GB2312" w:hAnsi="宋体" w:eastAsia="仿宋_GB2312"/>
          <w:color w:val="auto"/>
          <w:sz w:val="32"/>
          <w:szCs w:val="28"/>
        </w:rPr>
        <w:t>月，标准起草工作组到</w:t>
      </w:r>
      <w:r>
        <w:rPr>
          <w:rFonts w:ascii="仿宋_GB2312" w:hAnsi="宋体" w:eastAsia="仿宋_GB2312"/>
          <w:color w:val="auto"/>
          <w:sz w:val="32"/>
          <w:szCs w:val="28"/>
        </w:rPr>
        <w:t>相关单位和科研机构进行调研，开展</w:t>
      </w:r>
      <w:r>
        <w:rPr>
          <w:rFonts w:hint="eastAsia" w:ascii="仿宋_GB2312" w:hAnsi="宋体"/>
          <w:color w:val="auto"/>
          <w:sz w:val="32"/>
          <w:szCs w:val="28"/>
          <w:lang w:val="en-US" w:eastAsia="zh-CN"/>
        </w:rPr>
        <w:t>实践</w:t>
      </w:r>
      <w:r>
        <w:rPr>
          <w:rFonts w:ascii="仿宋_GB2312" w:hAnsi="宋体" w:eastAsia="仿宋_GB2312"/>
          <w:color w:val="auto"/>
          <w:sz w:val="32"/>
          <w:szCs w:val="28"/>
        </w:rPr>
        <w:t>验证</w:t>
      </w:r>
      <w:r>
        <w:rPr>
          <w:rFonts w:hint="eastAsia" w:ascii="仿宋_GB2312" w:hAnsi="宋体" w:eastAsia="仿宋_GB2312"/>
          <w:color w:val="auto"/>
          <w:sz w:val="32"/>
          <w:szCs w:val="28"/>
        </w:rPr>
        <w:t>。并实际征求意见，收集了大量反馈意见，标准编制工作组多次召开会议，对标准草案进行了反复修改和研究讨论。进一步讨论完善标准草案，形成团体标准《</w:t>
      </w:r>
      <w:r>
        <w:rPr>
          <w:rFonts w:hint="eastAsia" w:ascii="仿宋_GB2312" w:hAnsi="宋体"/>
          <w:color w:val="auto"/>
          <w:sz w:val="32"/>
          <w:szCs w:val="28"/>
          <w:lang w:eastAsia="zh-CN"/>
        </w:rPr>
        <w:t>内河航道用水量保障与应急规范</w:t>
      </w:r>
      <w:r>
        <w:rPr>
          <w:rFonts w:hint="eastAsia" w:ascii="仿宋_GB2312" w:hAnsi="宋体" w:eastAsia="仿宋_GB2312"/>
          <w:color w:val="auto"/>
          <w:sz w:val="32"/>
          <w:szCs w:val="28"/>
        </w:rPr>
        <w:t>》（征求意见稿）和（征求意见稿）编制说明。</w:t>
      </w:r>
    </w:p>
    <w:p w14:paraId="3B832357">
      <w:pPr>
        <w:keepNext w:val="0"/>
        <w:keepLines w:val="0"/>
        <w:pageBreakBefore w:val="0"/>
        <w:kinsoku/>
        <w:overflowPunct/>
        <w:topLinePunct w:val="0"/>
        <w:autoSpaceDE w:val="0"/>
        <w:autoSpaceDN w:val="0"/>
        <w:bidi w:val="0"/>
        <w:adjustRightInd w:val="0"/>
        <w:snapToGrid/>
        <w:ind w:left="0"/>
        <w:jc w:val="left"/>
        <w:textAlignment w:val="auto"/>
        <w:rPr>
          <w:rFonts w:eastAsia="黑体"/>
          <w:bCs/>
          <w:color w:val="auto"/>
          <w:sz w:val="32"/>
          <w:szCs w:val="32"/>
        </w:rPr>
      </w:pPr>
      <w:bookmarkStart w:id="0" w:name="_Toc526940083"/>
      <w:r>
        <w:rPr>
          <w:rFonts w:eastAsia="黑体"/>
          <w:bCs/>
          <w:color w:val="auto"/>
          <w:sz w:val="32"/>
          <w:szCs w:val="32"/>
        </w:rPr>
        <w:t>四、</w:t>
      </w:r>
      <w:bookmarkEnd w:id="0"/>
      <w:r>
        <w:rPr>
          <w:rFonts w:eastAsia="黑体"/>
          <w:bCs/>
          <w:color w:val="auto"/>
          <w:sz w:val="32"/>
          <w:szCs w:val="32"/>
        </w:rPr>
        <w:t>制定标准的原则和依据，与现行法律、法规的关系，与有关国家标准、行业标准的协调情况</w:t>
      </w:r>
    </w:p>
    <w:p w14:paraId="30EFA250">
      <w:pPr>
        <w:pStyle w:val="10"/>
        <w:keepNext w:val="0"/>
        <w:keepLines w:val="0"/>
        <w:pageBreakBefore w:val="0"/>
        <w:kinsoku/>
        <w:overflowPunct/>
        <w:topLinePunct w:val="0"/>
        <w:bidi w:val="0"/>
        <w:snapToGrid/>
        <w:spacing w:line="560" w:lineRule="exact"/>
        <w:ind w:left="0" w:firstLine="0" w:firstLineChars="0"/>
        <w:textAlignment w:val="auto"/>
        <w:outlineLvl w:val="1"/>
        <w:rPr>
          <w:rFonts w:ascii="Times New Roman" w:eastAsia="仿宋"/>
          <w:b/>
          <w:bCs/>
          <w:color w:val="auto"/>
          <w:sz w:val="32"/>
          <w:szCs w:val="32"/>
        </w:rPr>
      </w:pPr>
      <w:r>
        <w:rPr>
          <w:rFonts w:ascii="Times New Roman" w:eastAsia="仿宋"/>
          <w:b/>
          <w:bCs/>
          <w:color w:val="auto"/>
          <w:sz w:val="32"/>
          <w:szCs w:val="32"/>
        </w:rPr>
        <w:t>（一）编制原则</w:t>
      </w:r>
    </w:p>
    <w:p w14:paraId="7432AB81">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eastAsia="仿宋"/>
          <w:b/>
          <w:bCs/>
          <w:color w:val="auto"/>
          <w:kern w:val="0"/>
          <w:sz w:val="32"/>
          <w:szCs w:val="32"/>
        </w:rPr>
        <w:t>1、实用性原则</w:t>
      </w:r>
    </w:p>
    <w:p w14:paraId="096AD80F">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本文件是在充分收集相关资料和文献，分析内河航道用水保障与应急</w:t>
      </w:r>
      <w:r>
        <w:rPr>
          <w:rFonts w:hint="eastAsia" w:ascii="仿宋_GB2312" w:hAnsi="宋体"/>
          <w:color w:val="auto"/>
          <w:sz w:val="32"/>
          <w:szCs w:val="28"/>
          <w:lang w:val="en-US" w:eastAsia="zh-CN"/>
        </w:rPr>
        <w:t>工作</w:t>
      </w:r>
      <w:r>
        <w:rPr>
          <w:rFonts w:hint="eastAsia" w:ascii="仿宋_GB2312" w:hAnsi="宋体" w:eastAsia="仿宋_GB2312"/>
          <w:color w:val="auto"/>
          <w:sz w:val="32"/>
          <w:szCs w:val="28"/>
        </w:rPr>
        <w:t>当前现状，在现有相关内河航道用水保障与</w:t>
      </w:r>
      <w:r>
        <w:rPr>
          <w:rFonts w:hint="eastAsia" w:ascii="仿宋_GB2312" w:hAnsi="宋体"/>
          <w:color w:val="auto"/>
          <w:sz w:val="32"/>
          <w:szCs w:val="28"/>
          <w:lang w:val="en-US" w:eastAsia="zh-CN"/>
        </w:rPr>
        <w:t>应急</w:t>
      </w:r>
      <w:r>
        <w:rPr>
          <w:rFonts w:hint="eastAsia" w:ascii="仿宋_GB2312" w:hAnsi="宋体" w:eastAsia="仿宋_GB2312"/>
          <w:color w:val="auto"/>
          <w:sz w:val="32"/>
          <w:szCs w:val="28"/>
        </w:rPr>
        <w:t>要求的基础上，结合编制单位</w:t>
      </w:r>
      <w:r>
        <w:rPr>
          <w:rFonts w:ascii="仿宋_GB2312" w:hAnsi="宋体" w:eastAsia="仿宋_GB2312"/>
          <w:color w:val="auto"/>
          <w:sz w:val="32"/>
          <w:szCs w:val="28"/>
        </w:rPr>
        <w:t>多年</w:t>
      </w:r>
      <w:r>
        <w:rPr>
          <w:rFonts w:hint="eastAsia" w:ascii="仿宋_GB2312" w:hAnsi="宋体" w:eastAsia="仿宋_GB2312"/>
          <w:color w:val="auto"/>
          <w:sz w:val="32"/>
          <w:szCs w:val="28"/>
        </w:rPr>
        <w:t>相关经验而总结起草的，符合当前内河航道用水保障与应急</w:t>
      </w:r>
      <w:r>
        <w:rPr>
          <w:rFonts w:hint="eastAsia" w:ascii="仿宋_GB2312" w:hAnsi="宋体"/>
          <w:color w:val="auto"/>
          <w:sz w:val="32"/>
          <w:szCs w:val="28"/>
          <w:lang w:val="en-US" w:eastAsia="zh-CN"/>
        </w:rPr>
        <w:t>工作</w:t>
      </w:r>
      <w:r>
        <w:rPr>
          <w:rFonts w:hint="eastAsia" w:ascii="仿宋_GB2312" w:hAnsi="宋体" w:eastAsia="仿宋_GB2312"/>
          <w:color w:val="auto"/>
          <w:sz w:val="32"/>
          <w:szCs w:val="28"/>
        </w:rPr>
        <w:t>的发展方向，具有较强的实用性和可操作性。</w:t>
      </w:r>
    </w:p>
    <w:p w14:paraId="62EF7D35">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hint="eastAsia" w:eastAsia="仿宋"/>
          <w:b/>
          <w:bCs/>
          <w:color w:val="auto"/>
          <w:kern w:val="0"/>
          <w:sz w:val="32"/>
          <w:szCs w:val="32"/>
        </w:rPr>
        <w:t>2、协调性原则</w:t>
      </w:r>
    </w:p>
    <w:p w14:paraId="18A33837">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本文件编写过程中注意了与内河航道用水保障与应急相关法律法规的协调问题，在内容上与现行法律法规、标准协调一致。</w:t>
      </w:r>
    </w:p>
    <w:p w14:paraId="48B06747">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hint="eastAsia" w:eastAsia="仿宋"/>
          <w:b/>
          <w:bCs/>
          <w:color w:val="auto"/>
          <w:kern w:val="0"/>
          <w:sz w:val="32"/>
          <w:szCs w:val="32"/>
        </w:rPr>
        <w:t>3、规范性原则</w:t>
      </w:r>
    </w:p>
    <w:p w14:paraId="3276EBB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本文件严格参照GB/T 1.1—2020《标准化工作导则  第1部分：标准化文件的结构和起草规则》编写本标准的内容，保证标准的编写质量。</w:t>
      </w:r>
    </w:p>
    <w:p w14:paraId="173D3B39">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hint="eastAsia" w:eastAsia="仿宋"/>
          <w:b/>
          <w:bCs/>
          <w:color w:val="auto"/>
          <w:kern w:val="0"/>
          <w:sz w:val="32"/>
          <w:szCs w:val="32"/>
        </w:rPr>
        <w:t>4、前瞻性原则</w:t>
      </w:r>
    </w:p>
    <w:p w14:paraId="2315C397">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本文件在兼顾当前区内内河航道用水保障与应急</w:t>
      </w:r>
      <w:r>
        <w:rPr>
          <w:rFonts w:hint="eastAsia" w:ascii="仿宋_GB2312" w:hAnsi="宋体"/>
          <w:color w:val="auto"/>
          <w:sz w:val="32"/>
          <w:szCs w:val="28"/>
          <w:lang w:val="en-US" w:eastAsia="zh-CN"/>
        </w:rPr>
        <w:t>工作</w:t>
      </w:r>
      <w:r>
        <w:rPr>
          <w:rFonts w:hint="eastAsia" w:ascii="仿宋_GB2312" w:hAnsi="宋体" w:eastAsia="仿宋_GB2312"/>
          <w:color w:val="auto"/>
          <w:sz w:val="32"/>
          <w:szCs w:val="28"/>
        </w:rPr>
        <w:t>现实情况的同时，还考虑到了内河航道用水保障与应急</w:t>
      </w:r>
      <w:r>
        <w:rPr>
          <w:rFonts w:hint="eastAsia" w:ascii="仿宋_GB2312" w:hAnsi="宋体"/>
          <w:color w:val="auto"/>
          <w:sz w:val="32"/>
          <w:szCs w:val="28"/>
          <w:lang w:val="en-US" w:eastAsia="zh-CN"/>
        </w:rPr>
        <w:t>工作</w:t>
      </w:r>
      <w:r>
        <w:rPr>
          <w:rFonts w:hint="eastAsia" w:ascii="仿宋_GB2312" w:hAnsi="宋体" w:eastAsia="仿宋_GB2312"/>
          <w:color w:val="auto"/>
          <w:sz w:val="32"/>
          <w:szCs w:val="28"/>
        </w:rPr>
        <w:t>快速发展的趋势和需要，在标准中体现了个别特色性、前瞻性和先进性条款，作为对内河航道用水保障与应急</w:t>
      </w:r>
      <w:r>
        <w:rPr>
          <w:rFonts w:hint="eastAsia" w:ascii="仿宋_GB2312" w:hAnsi="宋体"/>
          <w:color w:val="auto"/>
          <w:sz w:val="32"/>
          <w:szCs w:val="28"/>
          <w:lang w:val="en-US" w:eastAsia="zh-CN"/>
        </w:rPr>
        <w:t>工作</w:t>
      </w:r>
      <w:r>
        <w:rPr>
          <w:rFonts w:hint="eastAsia" w:ascii="仿宋_GB2312" w:hAnsi="宋体" w:eastAsia="仿宋_GB2312"/>
          <w:color w:val="auto"/>
          <w:sz w:val="32"/>
          <w:szCs w:val="28"/>
        </w:rPr>
        <w:t>发展的指导。</w:t>
      </w:r>
    </w:p>
    <w:p w14:paraId="323DB155">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textAlignment w:val="auto"/>
        <w:outlineLvl w:val="1"/>
        <w:rPr>
          <w:rFonts w:eastAsia="仿宋"/>
          <w:b/>
          <w:bCs/>
          <w:color w:val="auto"/>
          <w:kern w:val="0"/>
          <w:sz w:val="32"/>
          <w:szCs w:val="32"/>
        </w:rPr>
      </w:pPr>
      <w:r>
        <w:rPr>
          <w:rFonts w:eastAsia="仿宋"/>
          <w:b/>
          <w:bCs/>
          <w:color w:val="auto"/>
          <w:kern w:val="0"/>
          <w:sz w:val="32"/>
          <w:szCs w:val="32"/>
        </w:rPr>
        <w:t>（二）编制依据</w:t>
      </w:r>
    </w:p>
    <w:p w14:paraId="03C8CA65">
      <w:pPr>
        <w:keepNext w:val="0"/>
        <w:keepLines w:val="0"/>
        <w:pageBreakBefore w:val="0"/>
        <w:kinsoku/>
        <w:overflowPunct/>
        <w:topLinePunct w:val="0"/>
        <w:bidi w:val="0"/>
        <w:snapToGrid/>
        <w:ind w:left="0" w:firstLine="640" w:firstLineChars="200"/>
        <w:textAlignment w:val="auto"/>
        <w:rPr>
          <w:rFonts w:eastAsia="仿宋"/>
          <w:color w:val="auto"/>
          <w:sz w:val="32"/>
          <w:szCs w:val="32"/>
        </w:rPr>
      </w:pPr>
      <w:r>
        <w:rPr>
          <w:rFonts w:eastAsia="仿宋"/>
          <w:color w:val="auto"/>
          <w:sz w:val="32"/>
          <w:szCs w:val="32"/>
        </w:rPr>
        <w:t>本标准严格按照GB/T 1.1—2020《标准化工作导则  第1部分：标准化文件的结构和起草规则》的规则起草，标准主要内容参考相关标准文件并结合起草单位多年的</w:t>
      </w:r>
      <w:r>
        <w:rPr>
          <w:rFonts w:hint="eastAsia" w:eastAsia="仿宋"/>
          <w:color w:val="auto"/>
          <w:sz w:val="32"/>
          <w:szCs w:val="32"/>
        </w:rPr>
        <w:t>相关</w:t>
      </w:r>
      <w:r>
        <w:rPr>
          <w:rFonts w:eastAsia="仿宋"/>
          <w:color w:val="auto"/>
          <w:sz w:val="32"/>
          <w:szCs w:val="32"/>
        </w:rPr>
        <w:t>经验</w:t>
      </w:r>
      <w:r>
        <w:rPr>
          <w:rFonts w:hint="eastAsia" w:eastAsia="仿宋"/>
          <w:color w:val="auto"/>
          <w:sz w:val="32"/>
          <w:szCs w:val="32"/>
        </w:rPr>
        <w:t>和实践</w:t>
      </w:r>
      <w:r>
        <w:rPr>
          <w:rFonts w:eastAsia="仿宋"/>
          <w:color w:val="auto"/>
          <w:sz w:val="32"/>
          <w:szCs w:val="32"/>
        </w:rPr>
        <w:t>验证情况总结进行起草。</w:t>
      </w:r>
    </w:p>
    <w:p w14:paraId="4909473A">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textAlignment w:val="auto"/>
        <w:outlineLvl w:val="1"/>
        <w:rPr>
          <w:rFonts w:eastAsia="仿宋"/>
          <w:b/>
          <w:bCs/>
          <w:color w:val="auto"/>
          <w:kern w:val="0"/>
          <w:sz w:val="32"/>
          <w:szCs w:val="32"/>
        </w:rPr>
      </w:pPr>
      <w:r>
        <w:rPr>
          <w:rFonts w:eastAsia="仿宋"/>
          <w:b/>
          <w:bCs/>
          <w:color w:val="auto"/>
          <w:kern w:val="0"/>
          <w:sz w:val="32"/>
          <w:szCs w:val="32"/>
        </w:rPr>
        <w:t>（三）与现行法律、法规的关系，与有关国家标准、行业标准的协调情况</w:t>
      </w:r>
    </w:p>
    <w:p w14:paraId="03FE614D">
      <w:pPr>
        <w:keepNext w:val="0"/>
        <w:keepLines w:val="0"/>
        <w:pageBreakBefore w:val="0"/>
        <w:kinsoku/>
        <w:overflowPunct/>
        <w:topLinePunct w:val="0"/>
        <w:bidi w:val="0"/>
        <w:snapToGrid/>
        <w:ind w:left="0" w:firstLine="640" w:firstLineChars="200"/>
        <w:textAlignment w:val="auto"/>
        <w:rPr>
          <w:rFonts w:eastAsia="仿宋"/>
          <w:color w:val="auto"/>
          <w:sz w:val="32"/>
          <w:szCs w:val="32"/>
        </w:rPr>
      </w:pPr>
      <w:r>
        <w:rPr>
          <w:rFonts w:hint="eastAsia" w:eastAsia="仿宋"/>
          <w:color w:val="auto"/>
          <w:sz w:val="32"/>
          <w:szCs w:val="32"/>
        </w:rPr>
        <w:t>本编制工作组承诺本标准内容与各项指标不违反相关法律法规要求，且不低于国家强制性标准、推荐性国家标准和行业标准要求。</w:t>
      </w:r>
    </w:p>
    <w:p w14:paraId="753754A3">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经查阅，与</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航道</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调度</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水资源</w:t>
      </w:r>
      <w:r>
        <w:rPr>
          <w:rFonts w:hint="eastAsia" w:ascii="仿宋_GB2312" w:hAnsi="宋体" w:eastAsia="仿宋_GB2312"/>
          <w:color w:val="auto"/>
          <w:sz w:val="32"/>
          <w:szCs w:val="28"/>
          <w:highlight w:val="none"/>
        </w:rPr>
        <w:t>”、</w:t>
      </w:r>
      <w:r>
        <w:rPr>
          <w:rFonts w:hint="eastAsia" w:ascii="仿宋_GB2312" w:hAnsi="宋体" w:eastAsia="仿宋_GB2312"/>
          <w:color w:val="auto"/>
          <w:sz w:val="32"/>
          <w:szCs w:val="28"/>
        </w:rPr>
        <w:t>相关的标准</w:t>
      </w:r>
      <w:r>
        <w:rPr>
          <w:rFonts w:hint="eastAsia" w:ascii="仿宋_GB2312" w:hAnsi="宋体"/>
          <w:color w:val="auto"/>
          <w:sz w:val="32"/>
          <w:szCs w:val="28"/>
          <w:lang w:val="en-US" w:eastAsia="zh-CN"/>
        </w:rPr>
        <w:t>主要</w:t>
      </w:r>
      <w:r>
        <w:rPr>
          <w:rFonts w:hint="eastAsia" w:ascii="仿宋_GB2312" w:hAnsi="宋体" w:eastAsia="仿宋_GB2312"/>
          <w:color w:val="auto"/>
          <w:sz w:val="32"/>
          <w:szCs w:val="28"/>
        </w:rPr>
        <w:t>有：</w:t>
      </w:r>
    </w:p>
    <w:p w14:paraId="6F85C8C0">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color w:val="auto"/>
          <w:szCs w:val="28"/>
          <w:lang w:eastAsia="zh-CN"/>
        </w:rPr>
        <w:t>《</w:t>
      </w:r>
      <w:r>
        <w:rPr>
          <w:rFonts w:hint="eastAsia" w:ascii="仿宋_GB2312" w:hAnsi="宋体"/>
          <w:color w:val="auto"/>
          <w:szCs w:val="28"/>
        </w:rPr>
        <w:t>GB 50139</w:t>
      </w:r>
      <w:r>
        <w:rPr>
          <w:rFonts w:hint="eastAsia" w:ascii="仿宋_GB2312" w:hAnsi="宋体"/>
          <w:color w:val="auto"/>
          <w:szCs w:val="28"/>
          <w:lang w:val="en-US" w:eastAsia="zh-CN"/>
        </w:rPr>
        <w:t>-2014</w:t>
      </w:r>
      <w:r>
        <w:rPr>
          <w:rFonts w:hint="eastAsia" w:ascii="仿宋_GB2312" w:hAnsi="宋体"/>
          <w:color w:val="auto"/>
          <w:szCs w:val="28"/>
        </w:rPr>
        <w:t xml:space="preserve">  内河通航标准</w:t>
      </w:r>
      <w:r>
        <w:rPr>
          <w:rFonts w:hint="eastAsia" w:ascii="仿宋_GB2312" w:hAnsi="宋体"/>
          <w:color w:val="auto"/>
          <w:szCs w:val="28"/>
          <w:lang w:eastAsia="zh-CN"/>
        </w:rPr>
        <w:t>》《</w:t>
      </w:r>
      <w:r>
        <w:rPr>
          <w:rFonts w:hint="eastAsia" w:ascii="仿宋_GB2312" w:hAnsi="宋体"/>
          <w:color w:val="auto"/>
          <w:szCs w:val="28"/>
        </w:rPr>
        <w:t>JTS 132</w:t>
      </w:r>
      <w:r>
        <w:rPr>
          <w:rFonts w:hint="eastAsia" w:ascii="仿宋_GB2312" w:hAnsi="宋体"/>
          <w:color w:val="auto"/>
          <w:szCs w:val="28"/>
          <w:lang w:val="en-US" w:eastAsia="zh-CN"/>
        </w:rPr>
        <w:t>-2015</w:t>
      </w:r>
      <w:r>
        <w:rPr>
          <w:rFonts w:hint="eastAsia" w:ascii="仿宋_GB2312" w:hAnsi="宋体"/>
          <w:color w:val="auto"/>
          <w:szCs w:val="28"/>
        </w:rPr>
        <w:t xml:space="preserve">  水运工程水文观测规范</w:t>
      </w:r>
      <w:r>
        <w:rPr>
          <w:rFonts w:hint="eastAsia" w:ascii="仿宋_GB2312" w:hAnsi="宋体"/>
          <w:color w:val="auto"/>
          <w:szCs w:val="28"/>
          <w:lang w:eastAsia="zh-CN"/>
        </w:rPr>
        <w:t>》《</w:t>
      </w:r>
      <w:r>
        <w:rPr>
          <w:rFonts w:hint="eastAsia" w:ascii="仿宋_GB2312" w:hAnsi="宋体"/>
          <w:color w:val="auto"/>
          <w:szCs w:val="28"/>
        </w:rPr>
        <w:t>JTS/T 320</w:t>
      </w:r>
      <w:r>
        <w:rPr>
          <w:rFonts w:hint="eastAsia" w:ascii="仿宋_GB2312" w:hAnsi="宋体"/>
          <w:color w:val="auto"/>
          <w:szCs w:val="28"/>
          <w:lang w:val="en-US" w:eastAsia="zh-CN"/>
        </w:rPr>
        <w:t>-2021</w:t>
      </w:r>
      <w:r>
        <w:rPr>
          <w:rFonts w:hint="eastAsia" w:ascii="仿宋_GB2312" w:hAnsi="宋体"/>
          <w:color w:val="auto"/>
          <w:szCs w:val="28"/>
        </w:rPr>
        <w:t xml:space="preserve">  航道养护技术规范</w:t>
      </w:r>
      <w:r>
        <w:rPr>
          <w:rFonts w:hint="eastAsia" w:ascii="仿宋_GB2312" w:hAnsi="宋体"/>
          <w:color w:val="auto"/>
          <w:szCs w:val="28"/>
          <w:lang w:eastAsia="zh-CN"/>
        </w:rPr>
        <w:t>》</w:t>
      </w:r>
      <w:r>
        <w:rPr>
          <w:rFonts w:hint="eastAsia" w:ascii="仿宋_GB2312" w:hAnsi="宋体"/>
          <w:color w:val="auto"/>
          <w:sz w:val="32"/>
          <w:szCs w:val="28"/>
          <w:lang w:eastAsia="zh-CN"/>
        </w:rPr>
        <w:t>《</w:t>
      </w:r>
      <w:r>
        <w:rPr>
          <w:rFonts w:hint="eastAsia" w:ascii="仿宋_GB2312" w:hAnsi="宋体" w:eastAsia="仿宋_GB2312"/>
          <w:color w:val="auto"/>
          <w:sz w:val="32"/>
          <w:szCs w:val="28"/>
        </w:rPr>
        <w:t>GB/T 50587-2010</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水库调度设计规范</w:t>
      </w:r>
      <w:r>
        <w:rPr>
          <w:rFonts w:hint="eastAsia" w:ascii="仿宋_GB2312" w:hAnsi="宋体"/>
          <w:color w:val="auto"/>
          <w:sz w:val="32"/>
          <w:szCs w:val="28"/>
          <w:lang w:eastAsia="zh-CN"/>
        </w:rPr>
        <w:t>》《</w:t>
      </w:r>
      <w:r>
        <w:rPr>
          <w:rFonts w:hint="eastAsia" w:ascii="仿宋_GB2312" w:hAnsi="宋体" w:eastAsia="仿宋_GB2312"/>
          <w:color w:val="auto"/>
          <w:sz w:val="32"/>
          <w:szCs w:val="28"/>
        </w:rPr>
        <w:t>DL/T1666-2016</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水电站水调自动化系统技术条件</w:t>
      </w:r>
      <w:r>
        <w:rPr>
          <w:rFonts w:hint="eastAsia" w:ascii="仿宋_GB2312" w:hAnsi="宋体"/>
          <w:color w:val="auto"/>
          <w:sz w:val="32"/>
          <w:szCs w:val="28"/>
          <w:lang w:eastAsia="zh-CN"/>
        </w:rPr>
        <w:t>》《</w:t>
      </w:r>
      <w:r>
        <w:rPr>
          <w:rFonts w:hint="eastAsia" w:ascii="仿宋_GB2312" w:hAnsi="宋体" w:eastAsia="仿宋_GB2312"/>
          <w:color w:val="auto"/>
          <w:sz w:val="32"/>
          <w:szCs w:val="28"/>
        </w:rPr>
        <w:t>DL/T2466-2021</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梯级水电厂智慧调度技术导则</w:t>
      </w:r>
      <w:r>
        <w:rPr>
          <w:rFonts w:hint="eastAsia" w:ascii="仿宋_GB2312" w:hAnsi="宋体"/>
          <w:color w:val="auto"/>
          <w:sz w:val="32"/>
          <w:szCs w:val="28"/>
          <w:lang w:eastAsia="zh-CN"/>
        </w:rPr>
        <w:t>》《</w:t>
      </w:r>
      <w:r>
        <w:rPr>
          <w:rFonts w:hint="eastAsia" w:ascii="仿宋_GB2312" w:hAnsi="宋体" w:eastAsia="仿宋_GB2312"/>
          <w:color w:val="auto"/>
          <w:sz w:val="32"/>
          <w:szCs w:val="28"/>
        </w:rPr>
        <w:t>NB/T 35001-2024</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梯级水电站水调自动化系统设计规范</w:t>
      </w:r>
      <w:r>
        <w:rPr>
          <w:rFonts w:hint="eastAsia" w:ascii="仿宋_GB2312" w:hAnsi="宋体"/>
          <w:color w:val="auto"/>
          <w:sz w:val="32"/>
          <w:szCs w:val="28"/>
          <w:lang w:eastAsia="zh-CN"/>
        </w:rPr>
        <w:t>》《</w:t>
      </w:r>
      <w:r>
        <w:rPr>
          <w:rFonts w:hint="eastAsia" w:ascii="仿宋_GB2312" w:hAnsi="宋体" w:eastAsia="仿宋_GB2312"/>
          <w:color w:val="auto"/>
          <w:sz w:val="32"/>
          <w:szCs w:val="28"/>
        </w:rPr>
        <w:t>SL706-2015</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水库调度规程编制导则</w:t>
      </w:r>
      <w:r>
        <w:rPr>
          <w:rFonts w:hint="eastAsia" w:ascii="仿宋_GB2312" w:hAnsi="宋体"/>
          <w:color w:val="auto"/>
          <w:sz w:val="32"/>
          <w:szCs w:val="28"/>
          <w:lang w:eastAsia="zh-CN"/>
        </w:rPr>
        <w:t>》《</w:t>
      </w:r>
      <w:r>
        <w:rPr>
          <w:rFonts w:hint="eastAsia" w:ascii="仿宋_GB2312" w:hAnsi="宋体" w:eastAsia="仿宋_GB2312"/>
          <w:color w:val="auto"/>
          <w:sz w:val="32"/>
          <w:szCs w:val="28"/>
        </w:rPr>
        <w:t>SL/T844-2025</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江河流域水资源调度技术导则</w:t>
      </w:r>
      <w:r>
        <w:rPr>
          <w:rFonts w:hint="eastAsia" w:ascii="仿宋_GB2312" w:hAnsi="宋体"/>
          <w:color w:val="auto"/>
          <w:sz w:val="32"/>
          <w:szCs w:val="28"/>
          <w:lang w:eastAsia="zh-CN"/>
        </w:rPr>
        <w:t>》《</w:t>
      </w:r>
      <w:r>
        <w:rPr>
          <w:rFonts w:hint="eastAsia" w:ascii="仿宋_GB2312" w:hAnsi="宋体" w:eastAsia="仿宋_GB2312"/>
          <w:color w:val="auto"/>
          <w:sz w:val="32"/>
          <w:szCs w:val="28"/>
        </w:rPr>
        <w:t>SL/T851-2025</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调水工程调度管理规程</w:t>
      </w:r>
      <w:r>
        <w:rPr>
          <w:rFonts w:hint="eastAsia" w:ascii="仿宋_GB2312" w:hAnsi="宋体"/>
          <w:color w:val="auto"/>
          <w:sz w:val="32"/>
          <w:szCs w:val="28"/>
          <w:lang w:eastAsia="zh-CN"/>
        </w:rPr>
        <w:t>》《</w:t>
      </w:r>
      <w:r>
        <w:rPr>
          <w:rFonts w:hint="eastAsia" w:ascii="仿宋_GB2312" w:hAnsi="宋体" w:eastAsia="仿宋_GB2312"/>
          <w:color w:val="auto"/>
          <w:sz w:val="32"/>
          <w:szCs w:val="28"/>
        </w:rPr>
        <w:t>T/XJBX 0192-2026</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平陆运河水资源联合调度与管理规程</w:t>
      </w:r>
      <w:r>
        <w:rPr>
          <w:rFonts w:hint="eastAsia" w:ascii="仿宋_GB2312" w:hAnsi="宋体"/>
          <w:color w:val="auto"/>
          <w:sz w:val="32"/>
          <w:szCs w:val="28"/>
          <w:lang w:eastAsia="zh-CN"/>
        </w:rPr>
        <w:t>》《</w:t>
      </w:r>
      <w:r>
        <w:rPr>
          <w:rFonts w:hint="eastAsia" w:ascii="仿宋_GB2312" w:hAnsi="宋体" w:eastAsia="仿宋_GB2312"/>
          <w:color w:val="auto"/>
          <w:sz w:val="32"/>
          <w:szCs w:val="28"/>
        </w:rPr>
        <w:t>T/CTESGS 02-2024</w:t>
      </w: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河流水电及航运规划水资源论证技术导则</w:t>
      </w:r>
      <w:r>
        <w:rPr>
          <w:rFonts w:hint="eastAsia" w:ascii="仿宋_GB2312" w:hAnsi="宋体"/>
          <w:color w:val="auto"/>
          <w:sz w:val="32"/>
          <w:szCs w:val="28"/>
          <w:lang w:eastAsia="zh-CN"/>
        </w:rPr>
        <w:t>》</w:t>
      </w:r>
    </w:p>
    <w:p w14:paraId="7FA8BB82">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综上，现有标准主要侧重于水库调度、水电站自动化、流域水资源调度及农业水产养殖水质调控等领域，对于内河航运用水保障和应急工作尚无具体要求，无法有效指导内河航道用水保障工作，因此有必要制定团体标准《内河航道用水保障和应急规范》。</w:t>
      </w:r>
    </w:p>
    <w:p w14:paraId="14FD2F15">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bookmarkStart w:id="1" w:name="_Toc526940084"/>
      <w:r>
        <w:rPr>
          <w:rFonts w:hint="eastAsia" w:ascii="黑体" w:hAnsi="黑体" w:eastAsia="黑体" w:cs="仿宋_GB2312"/>
          <w:color w:val="auto"/>
          <w:sz w:val="32"/>
          <w:szCs w:val="32"/>
        </w:rPr>
        <w:t>五、</w:t>
      </w:r>
      <w:bookmarkEnd w:id="1"/>
      <w:r>
        <w:rPr>
          <w:rFonts w:hint="eastAsia" w:ascii="黑体" w:hAnsi="黑体" w:eastAsia="黑体" w:cs="仿宋_GB2312"/>
          <w:color w:val="auto"/>
          <w:sz w:val="32"/>
          <w:szCs w:val="32"/>
        </w:rPr>
        <w:t>主要条款的说明</w:t>
      </w:r>
    </w:p>
    <w:p w14:paraId="6299204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32"/>
          <w:lang w:val="zh-CN"/>
        </w:rPr>
      </w:pPr>
      <w:r>
        <w:rPr>
          <w:rFonts w:hint="eastAsia" w:ascii="仿宋_GB2312" w:hAnsi="宋体"/>
          <w:color w:val="auto"/>
          <w:sz w:val="32"/>
          <w:szCs w:val="32"/>
          <w:highlight w:val="none"/>
          <w:lang w:val="zh-CN" w:eastAsia="zh-CN"/>
        </w:rPr>
        <w:t>本标准起草团队</w:t>
      </w:r>
      <w:r>
        <w:rPr>
          <w:rFonts w:hint="eastAsia" w:ascii="仿宋_GB2312" w:hAnsi="宋体" w:eastAsia="仿宋_GB2312"/>
          <w:color w:val="auto"/>
          <w:sz w:val="32"/>
          <w:szCs w:val="32"/>
          <w:highlight w:val="none"/>
          <w:lang w:val="zh-CN" w:eastAsia="zh-CN"/>
        </w:rPr>
        <w:t>以《平陆运河航运用水保障风险分析与应对措施研究》的核心结论为编制基础，该研究通过对1956-2020年长系列水文数据开展分析，结合六库联合调度模型完成多工况优化计算，系统梳理明确了内河航道用水保障的关键风险，并提出了对应的应对措施。</w:t>
      </w:r>
    </w:p>
    <w:p w14:paraId="6C1EDCB7">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32"/>
          <w:lang w:val="zh-CN"/>
        </w:rPr>
      </w:pPr>
      <w:r>
        <w:rPr>
          <w:rFonts w:hint="eastAsia" w:ascii="仿宋_GB2312" w:hAnsi="宋体" w:eastAsia="仿宋_GB2312"/>
          <w:color w:val="auto"/>
          <w:sz w:val="32"/>
          <w:szCs w:val="32"/>
          <w:lang w:val="zh-CN"/>
        </w:rPr>
        <w:t>团体标准《</w:t>
      </w:r>
      <w:r>
        <w:rPr>
          <w:rFonts w:hint="eastAsia" w:ascii="仿宋_GB2312" w:hAnsi="宋体"/>
          <w:color w:val="auto"/>
          <w:sz w:val="32"/>
          <w:szCs w:val="32"/>
          <w:lang w:val="zh-CN"/>
        </w:rPr>
        <w:t>内河航道用水量保障与应急规范</w:t>
      </w:r>
      <w:r>
        <w:rPr>
          <w:rFonts w:hint="eastAsia" w:ascii="仿宋_GB2312" w:hAnsi="宋体" w:eastAsia="仿宋_GB2312"/>
          <w:color w:val="auto"/>
          <w:sz w:val="32"/>
          <w:szCs w:val="32"/>
          <w:lang w:val="zh-CN"/>
        </w:rPr>
        <w:t>》的主要章节内容包括：</w:t>
      </w:r>
      <w:r>
        <w:rPr>
          <w:rFonts w:hint="eastAsia" w:ascii="仿宋_GB2312" w:hAnsi="宋体"/>
          <w:color w:val="auto"/>
          <w:sz w:val="32"/>
          <w:szCs w:val="28"/>
          <w:highlight w:val="none"/>
          <w:lang w:val="en-US" w:eastAsia="zh-CN"/>
        </w:rPr>
        <w:t>基本要求、用水量确定、水量保障、水量调度、监测与预警、应急管理、评估与改进的要求</w:t>
      </w:r>
      <w:r>
        <w:rPr>
          <w:rFonts w:hint="eastAsia" w:ascii="仿宋_GB2312" w:hAnsi="宋体" w:eastAsia="仿宋_GB2312"/>
          <w:color w:val="auto"/>
          <w:sz w:val="32"/>
          <w:szCs w:val="32"/>
          <w:lang w:val="zh-CN"/>
        </w:rPr>
        <w:t>。本文件主要内容及依据来源说明如下：</w:t>
      </w:r>
    </w:p>
    <w:p w14:paraId="40C50225">
      <w:pPr>
        <w:keepNext w:val="0"/>
        <w:keepLines w:val="0"/>
        <w:pageBreakBefore w:val="0"/>
        <w:kinsoku/>
        <w:overflowPunct/>
        <w:topLinePunct w:val="0"/>
        <w:bidi w:val="0"/>
        <w:snapToGrid/>
        <w:ind w:left="0" w:firstLine="640" w:firstLineChars="200"/>
        <w:textAlignment w:val="auto"/>
        <w:rPr>
          <w:rFonts w:hint="default" w:ascii="仿宋_GB2312" w:hAnsi="宋体"/>
          <w:color w:val="auto"/>
          <w:sz w:val="32"/>
          <w:szCs w:val="32"/>
          <w:lang w:val="en-US" w:eastAsia="zh-CN"/>
        </w:rPr>
      </w:pPr>
      <w:r>
        <w:rPr>
          <w:rFonts w:hint="default" w:ascii="仿宋_GB2312" w:hAnsi="宋体"/>
          <w:color w:val="auto"/>
          <w:sz w:val="32"/>
          <w:szCs w:val="32"/>
          <w:lang w:val="zh-CN" w:eastAsia="zh-CN"/>
        </w:rPr>
        <w:t>（一）</w:t>
      </w:r>
      <w:r>
        <w:rPr>
          <w:rFonts w:hint="eastAsia" w:ascii="仿宋_GB2312" w:hAnsi="宋体"/>
          <w:color w:val="auto"/>
          <w:sz w:val="32"/>
          <w:szCs w:val="32"/>
          <w:lang w:val="en-US" w:eastAsia="zh-CN"/>
        </w:rPr>
        <w:t>基本要求</w:t>
      </w:r>
    </w:p>
    <w:p w14:paraId="4366C8AE">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32"/>
          <w:lang w:val="en-US" w:eastAsia="zh-CN"/>
        </w:rPr>
      </w:pPr>
      <w:r>
        <w:rPr>
          <w:rFonts w:hint="eastAsia" w:ascii="仿宋_GB2312" w:hAnsi="宋体"/>
          <w:color w:val="auto"/>
          <w:sz w:val="32"/>
          <w:szCs w:val="32"/>
          <w:lang w:val="en-US" w:eastAsia="zh-CN"/>
        </w:rPr>
        <w:t>基本要求主要依据于相关国家法律法规的要求，《中华人民共和国航道法》 明确规定航道规划、建设、养护、保护的基本要求，保障航道畅通和通航安全。《中华人民共和国航道管理条例实施细则》规定，在通航河段兴建水利水电工程控制或引走水源的，建设单位应保证航道和船闸所需通航流量。《中华人民共和国河道管理条例》以保障防洪安全、发挥江河湖泊综合效益为宗旨。</w:t>
      </w:r>
    </w:p>
    <w:p w14:paraId="273FDF89">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32"/>
          <w:lang w:val="en-US" w:eastAsia="zh-CN"/>
        </w:rPr>
      </w:pPr>
      <w:r>
        <w:rPr>
          <w:rFonts w:hint="eastAsia" w:ascii="仿宋_GB2312" w:hAnsi="宋体"/>
          <w:color w:val="auto"/>
          <w:sz w:val="32"/>
          <w:szCs w:val="32"/>
          <w:lang w:val="en-US" w:eastAsia="zh-CN"/>
        </w:rPr>
        <w:t>基本要求是为了在有限的水资源条件下，通过制度化、规范化的调度管理，协调防洪、生态、生活、航运等多目标用水需求之间的冲突。航道用水量保障以通航水位和通航保证率为核心目标，将其纳入流域水资源统一调度管理，从源头统筹各方利益；优先保障生态和生活用水体现了“生态优先、民生为本”的基本价值排序；建立信息共享和协调联动机制，打破部门壁垒、避免多头指挥；识别用水稳定、用水争端、措施不明确三类风险，则是提前防范因水源单一、行业竞争或应急措施失效导致的通航中断。这一系列要求旨在实现航运发展与水资源保护、防洪安全、民生保障之间的动态平衡，确保航道在任何水文条件下能维持基本的通航能力。</w:t>
      </w:r>
    </w:p>
    <w:p w14:paraId="68F8DD3A">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32"/>
          <w:lang w:val="zh-CN"/>
        </w:rPr>
      </w:pPr>
      <w:r>
        <w:rPr>
          <w:rFonts w:hint="eastAsia" w:ascii="仿宋_GB2312" w:hAnsi="宋体"/>
          <w:color w:val="auto"/>
          <w:sz w:val="32"/>
          <w:szCs w:val="32"/>
          <w:lang w:val="en-US" w:eastAsia="zh-CN"/>
        </w:rPr>
        <w:t>（二）用水量确定</w:t>
      </w:r>
    </w:p>
    <w:p w14:paraId="1323351B">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32"/>
          <w:lang w:val="en-US" w:eastAsia="zh-CN"/>
        </w:rPr>
      </w:pPr>
      <w:r>
        <w:rPr>
          <w:rFonts w:hint="eastAsia" w:ascii="仿宋_GB2312" w:hAnsi="宋体"/>
          <w:color w:val="auto"/>
          <w:sz w:val="32"/>
          <w:szCs w:val="32"/>
          <w:lang w:val="en-US" w:eastAsia="zh-CN"/>
        </w:rPr>
        <w:t>2.1一般规定</w:t>
      </w:r>
    </w:p>
    <w:p w14:paraId="48D70A9F">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32"/>
          <w:lang w:val="en-US" w:eastAsia="zh-CN"/>
        </w:rPr>
      </w:pPr>
      <w:r>
        <w:rPr>
          <w:rFonts w:hint="default" w:ascii="仿宋_GB2312" w:hAnsi="宋体"/>
          <w:color w:val="auto"/>
          <w:sz w:val="32"/>
          <w:szCs w:val="32"/>
          <w:lang w:val="en-US" w:eastAsia="zh-CN"/>
        </w:rPr>
        <w:t>设计最低通航水位是确定航道尺度（水深、底宽等）的起算水位，不同等级航道对应不同的通航保证率。要求符合GB 50139，保障不同等级航道在不同水文条件下都能满足相应的通航安全要求，避免因采用过于保守或乐观的水位值导致工程失当或通航中断。 取水许可是国家水资源管理的核心制度。要求航运取水服从流域统一调度且不突破许可水量，是为了在水资源总量有限的前提下，将航运用水纳入统一的资源分配框架，防止航运取水无序扩张而挤占其他行业用水，确保流域内水资源分配的公平性和可持续性</w:t>
      </w:r>
      <w:r>
        <w:rPr>
          <w:rFonts w:hint="eastAsia" w:ascii="仿宋_GB2312" w:hAnsi="宋体"/>
          <w:color w:val="auto"/>
          <w:sz w:val="32"/>
          <w:szCs w:val="32"/>
          <w:lang w:val="en-US" w:eastAsia="zh-CN"/>
        </w:rPr>
        <w:t>。《取水许可和水资源费征收管理条例》规定，取水许可应当首先满足城乡居民生活用水，并兼顾农业、工业、生态与环境用水以及航运等需要。水利水电工程的建设和运行会改变下游河道的径流过程，可能造成枯水期流量不足、水位下降。要求进行航运用水影响评价并将最小通航流量纳入调度规程，从源头预防工程建设对航运造成的不利影响。</w:t>
      </w:r>
    </w:p>
    <w:p w14:paraId="451E3F7D">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32"/>
          <w:lang w:val="en-US" w:eastAsia="zh-CN"/>
        </w:rPr>
      </w:pPr>
      <w:r>
        <w:rPr>
          <w:rFonts w:hint="eastAsia" w:ascii="仿宋_GB2312" w:hAnsi="宋体"/>
          <w:color w:val="auto"/>
          <w:sz w:val="32"/>
          <w:szCs w:val="32"/>
          <w:lang w:val="en-US" w:eastAsia="zh-CN"/>
        </w:rPr>
        <w:t>2.2水文分析</w:t>
      </w:r>
    </w:p>
    <w:p w14:paraId="702E9959">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32"/>
          <w:lang w:val="en-US" w:eastAsia="zh-CN"/>
        </w:rPr>
      </w:pPr>
      <w:r>
        <w:rPr>
          <w:rFonts w:hint="default" w:ascii="仿宋_GB2312" w:hAnsi="宋体"/>
          <w:color w:val="auto"/>
          <w:sz w:val="32"/>
          <w:szCs w:val="32"/>
          <w:lang w:val="en-US" w:eastAsia="zh-CN"/>
        </w:rPr>
        <w:t>水文条件是确定航道用水量的基础。不同河流的水文特性差异显著，必须基于长序列实测资料，采用规范规定的方法进行科学推算。</w:t>
      </w:r>
      <w:r>
        <w:rPr>
          <w:rFonts w:hint="eastAsia" w:ascii="仿宋_GB2312" w:hAnsi="宋体"/>
          <w:color w:val="auto"/>
          <w:sz w:val="32"/>
          <w:szCs w:val="32"/>
          <w:lang w:val="en-US" w:eastAsia="zh-CN"/>
        </w:rPr>
        <w:t>《</w:t>
      </w:r>
      <w:r>
        <w:rPr>
          <w:rFonts w:hint="default" w:ascii="仿宋_GB2312" w:hAnsi="宋体"/>
          <w:color w:val="auto"/>
          <w:sz w:val="32"/>
          <w:szCs w:val="32"/>
          <w:lang w:val="en-US" w:eastAsia="zh-CN"/>
        </w:rPr>
        <w:t>内河航道与港口水文规范》（JTJ 214）规定，天然河流的设计最低通航水位可采用综合历时曲线法或保证率频率法计算确定</w:t>
      </w:r>
      <w:r>
        <w:rPr>
          <w:rFonts w:hint="eastAsia" w:ascii="仿宋_GB2312" w:hAnsi="宋体"/>
          <w:color w:val="auto"/>
          <w:sz w:val="32"/>
          <w:szCs w:val="32"/>
          <w:lang w:val="en-US" w:eastAsia="zh-CN"/>
        </w:rPr>
        <w:t>。《内河航道与港口水文规范》对水文分析所需的基础资料有明确要求。这三类资料分别对应自然来水条件（长序列水文资料）、人类工程干预（水利水电工程资料）和用水竞争格局（主要用水户取用水资料），是进行准确水文分析的必要数据基础。在实际工作中，许多航道控制断面可能缺乏足够长的水文实测资料。通过分析与上游水文站的相关关系，可以利用上游站的长序列资料来推算控制断面的水文特征值，提高设计水位推算的精度和可靠性。</w:t>
      </w:r>
    </w:p>
    <w:p w14:paraId="5744C246">
      <w:pPr>
        <w:keepNext w:val="0"/>
        <w:keepLines w:val="0"/>
        <w:pageBreakBefore w:val="0"/>
        <w:kinsoku/>
        <w:overflowPunct/>
        <w:topLinePunct w:val="0"/>
        <w:bidi w:val="0"/>
        <w:snapToGrid/>
        <w:ind w:left="0" w:firstLine="640" w:firstLineChars="200"/>
        <w:textAlignment w:val="auto"/>
        <w:rPr>
          <w:rFonts w:hint="default" w:ascii="仿宋_GB2312" w:hAnsi="宋体"/>
          <w:color w:val="auto"/>
          <w:sz w:val="32"/>
          <w:szCs w:val="32"/>
          <w:highlight w:val="none"/>
          <w:lang w:val="en-US" w:eastAsia="zh-CN"/>
        </w:rPr>
      </w:pPr>
      <w:r>
        <w:rPr>
          <w:rFonts w:hint="eastAsia" w:ascii="仿宋_GB2312" w:hAnsi="宋体" w:eastAsia="仿宋_GB2312"/>
          <w:color w:val="auto"/>
          <w:sz w:val="32"/>
          <w:szCs w:val="32"/>
          <w:highlight w:val="none"/>
          <w:lang w:val="zh-CN" w:eastAsia="zh-CN"/>
        </w:rPr>
        <w:t>平陆运河航运用水保障风险分析</w:t>
      </w:r>
      <w:r>
        <w:rPr>
          <w:rFonts w:hint="eastAsia" w:ascii="仿宋_GB2312" w:hAnsi="宋体"/>
          <w:color w:val="auto"/>
          <w:sz w:val="32"/>
          <w:szCs w:val="32"/>
          <w:highlight w:val="none"/>
          <w:lang w:val="en-US" w:eastAsia="zh-CN"/>
        </w:rPr>
        <w:t>中</w:t>
      </w:r>
      <w:r>
        <w:rPr>
          <w:rFonts w:hint="eastAsia" w:ascii="仿宋_GB2312" w:hAnsi="宋体"/>
          <w:color w:val="auto"/>
          <w:sz w:val="32"/>
          <w:szCs w:val="32"/>
          <w:highlight w:val="none"/>
          <w:lang w:val="zh-CN" w:eastAsia="zh-CN"/>
        </w:rPr>
        <w:t>，</w:t>
      </w:r>
      <w:r>
        <w:rPr>
          <w:rFonts w:hint="eastAsia" w:ascii="仿宋_GB2312" w:hAnsi="宋体"/>
          <w:color w:val="auto"/>
          <w:sz w:val="32"/>
          <w:szCs w:val="32"/>
          <w:highlight w:val="none"/>
          <w:lang w:val="en-US" w:eastAsia="zh-CN"/>
        </w:rPr>
        <w:t>起草单位就收集了相关水文资料。郁江流域流域内有水文测站29个、水位站3个。各水文测站主要观测项目有水位、流量、含沙量等，主要水文站资料系列情况见表1。</w:t>
      </w:r>
    </w:p>
    <w:p w14:paraId="77DFEA5F">
      <w:pPr>
        <w:pStyle w:val="36"/>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表1  郁江流域主要水文情况表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56"/>
        <w:gridCol w:w="826"/>
        <w:gridCol w:w="997"/>
        <w:gridCol w:w="1162"/>
        <w:gridCol w:w="1382"/>
        <w:gridCol w:w="1382"/>
        <w:gridCol w:w="1382"/>
        <w:gridCol w:w="1385"/>
      </w:tblGrid>
      <w:tr w14:paraId="4D8E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9" w:hRule="atLeast"/>
          <w:tblHeader/>
          <w:jc w:val="center"/>
        </w:trPr>
        <w:tc>
          <w:tcPr>
            <w:tcW w:w="307" w:type="pct"/>
            <w:vMerge w:val="restart"/>
            <w:vAlign w:val="center"/>
          </w:tcPr>
          <w:p w14:paraId="06E839EC">
            <w:pPr>
              <w:pStyle w:val="36"/>
              <w:rPr>
                <w:sz w:val="18"/>
              </w:rPr>
            </w:pPr>
            <w:r>
              <w:rPr>
                <w:sz w:val="18"/>
              </w:rPr>
              <w:t>所在</w:t>
            </w:r>
          </w:p>
          <w:p w14:paraId="08EBA95C">
            <w:pPr>
              <w:pStyle w:val="36"/>
              <w:rPr>
                <w:sz w:val="18"/>
              </w:rPr>
            </w:pPr>
            <w:r>
              <w:rPr>
                <w:sz w:val="18"/>
              </w:rPr>
              <w:t>河段</w:t>
            </w:r>
          </w:p>
        </w:tc>
        <w:tc>
          <w:tcPr>
            <w:tcW w:w="455" w:type="pct"/>
            <w:vMerge w:val="restart"/>
            <w:vAlign w:val="center"/>
          </w:tcPr>
          <w:p w14:paraId="571BF15B">
            <w:pPr>
              <w:pStyle w:val="36"/>
              <w:rPr>
                <w:sz w:val="18"/>
              </w:rPr>
            </w:pPr>
            <w:r>
              <w:rPr>
                <w:sz w:val="18"/>
              </w:rPr>
              <w:t>站名</w:t>
            </w:r>
          </w:p>
        </w:tc>
        <w:tc>
          <w:tcPr>
            <w:tcW w:w="549" w:type="pct"/>
            <w:vMerge w:val="restart"/>
            <w:vAlign w:val="center"/>
          </w:tcPr>
          <w:p w14:paraId="1F5D52C2">
            <w:pPr>
              <w:pStyle w:val="36"/>
              <w:rPr>
                <w:sz w:val="18"/>
              </w:rPr>
            </w:pPr>
            <w:r>
              <w:rPr>
                <w:sz w:val="18"/>
              </w:rPr>
              <w:t>测站所在位置</w:t>
            </w:r>
          </w:p>
        </w:tc>
        <w:tc>
          <w:tcPr>
            <w:tcW w:w="640" w:type="pct"/>
            <w:vMerge w:val="restart"/>
            <w:vAlign w:val="center"/>
          </w:tcPr>
          <w:p w14:paraId="6FF7D3BC">
            <w:pPr>
              <w:pStyle w:val="36"/>
              <w:rPr>
                <w:sz w:val="18"/>
              </w:rPr>
            </w:pPr>
            <w:r>
              <w:rPr>
                <w:sz w:val="18"/>
              </w:rPr>
              <w:t>集水</w:t>
            </w:r>
          </w:p>
          <w:p w14:paraId="6F78491D">
            <w:pPr>
              <w:pStyle w:val="36"/>
              <w:rPr>
                <w:sz w:val="18"/>
              </w:rPr>
            </w:pPr>
            <w:r>
              <w:rPr>
                <w:sz w:val="18"/>
              </w:rPr>
              <w:t>面积</w:t>
            </w:r>
          </w:p>
          <w:p w14:paraId="5C5544E2">
            <w:pPr>
              <w:pStyle w:val="36"/>
              <w:rPr>
                <w:sz w:val="18"/>
              </w:rPr>
            </w:pPr>
            <w:r>
              <w:rPr>
                <w:sz w:val="18"/>
              </w:rPr>
              <w:t>(km</w:t>
            </w:r>
            <w:r>
              <w:rPr>
                <w:sz w:val="18"/>
                <w:vertAlign w:val="superscript"/>
              </w:rPr>
              <w:t>2</w:t>
            </w:r>
            <w:r>
              <w:rPr>
                <w:sz w:val="18"/>
              </w:rPr>
              <w:t>)</w:t>
            </w:r>
          </w:p>
        </w:tc>
        <w:tc>
          <w:tcPr>
            <w:tcW w:w="3046" w:type="pct"/>
            <w:gridSpan w:val="4"/>
            <w:vAlign w:val="center"/>
          </w:tcPr>
          <w:p w14:paraId="5697A09B">
            <w:pPr>
              <w:pStyle w:val="36"/>
              <w:rPr>
                <w:sz w:val="18"/>
              </w:rPr>
            </w:pPr>
            <w:r>
              <w:rPr>
                <w:sz w:val="18"/>
              </w:rPr>
              <w:t>测验项目及年限</w:t>
            </w:r>
          </w:p>
        </w:tc>
      </w:tr>
      <w:tr w14:paraId="7BA8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9" w:hRule="atLeast"/>
          <w:tblHeader/>
          <w:jc w:val="center"/>
        </w:trPr>
        <w:tc>
          <w:tcPr>
            <w:tcW w:w="307" w:type="pct"/>
            <w:vMerge w:val="continue"/>
            <w:vAlign w:val="center"/>
          </w:tcPr>
          <w:p w14:paraId="2B36F3D4">
            <w:pPr>
              <w:pStyle w:val="36"/>
              <w:rPr>
                <w:sz w:val="18"/>
              </w:rPr>
            </w:pPr>
          </w:p>
        </w:tc>
        <w:tc>
          <w:tcPr>
            <w:tcW w:w="455" w:type="pct"/>
            <w:vMerge w:val="continue"/>
            <w:vAlign w:val="center"/>
          </w:tcPr>
          <w:p w14:paraId="1101766F">
            <w:pPr>
              <w:pStyle w:val="36"/>
              <w:rPr>
                <w:sz w:val="18"/>
              </w:rPr>
            </w:pPr>
          </w:p>
        </w:tc>
        <w:tc>
          <w:tcPr>
            <w:tcW w:w="549" w:type="pct"/>
            <w:vMerge w:val="continue"/>
            <w:vAlign w:val="center"/>
          </w:tcPr>
          <w:p w14:paraId="317FAEDB">
            <w:pPr>
              <w:pStyle w:val="36"/>
              <w:rPr>
                <w:sz w:val="18"/>
              </w:rPr>
            </w:pPr>
          </w:p>
        </w:tc>
        <w:tc>
          <w:tcPr>
            <w:tcW w:w="640" w:type="pct"/>
            <w:vMerge w:val="continue"/>
            <w:vAlign w:val="center"/>
          </w:tcPr>
          <w:p w14:paraId="2C3D9970">
            <w:pPr>
              <w:pStyle w:val="36"/>
              <w:rPr>
                <w:sz w:val="18"/>
              </w:rPr>
            </w:pPr>
          </w:p>
        </w:tc>
        <w:tc>
          <w:tcPr>
            <w:tcW w:w="761" w:type="pct"/>
            <w:vAlign w:val="center"/>
          </w:tcPr>
          <w:p w14:paraId="0821555D">
            <w:pPr>
              <w:pStyle w:val="36"/>
              <w:rPr>
                <w:sz w:val="18"/>
              </w:rPr>
            </w:pPr>
            <w:r>
              <w:rPr>
                <w:sz w:val="18"/>
              </w:rPr>
              <w:t>水位</w:t>
            </w:r>
          </w:p>
        </w:tc>
        <w:tc>
          <w:tcPr>
            <w:tcW w:w="761" w:type="pct"/>
            <w:vAlign w:val="center"/>
          </w:tcPr>
          <w:p w14:paraId="45231807">
            <w:pPr>
              <w:pStyle w:val="36"/>
              <w:rPr>
                <w:sz w:val="18"/>
              </w:rPr>
            </w:pPr>
            <w:r>
              <w:rPr>
                <w:sz w:val="18"/>
              </w:rPr>
              <w:t>流量</w:t>
            </w:r>
          </w:p>
        </w:tc>
        <w:tc>
          <w:tcPr>
            <w:tcW w:w="761" w:type="pct"/>
            <w:vAlign w:val="center"/>
          </w:tcPr>
          <w:p w14:paraId="6E5C558B">
            <w:pPr>
              <w:pStyle w:val="36"/>
              <w:rPr>
                <w:sz w:val="18"/>
              </w:rPr>
            </w:pPr>
            <w:r>
              <w:rPr>
                <w:sz w:val="18"/>
              </w:rPr>
              <w:t>泥沙</w:t>
            </w:r>
          </w:p>
        </w:tc>
        <w:tc>
          <w:tcPr>
            <w:tcW w:w="761" w:type="pct"/>
            <w:vAlign w:val="center"/>
          </w:tcPr>
          <w:p w14:paraId="68BC5F2B">
            <w:pPr>
              <w:pStyle w:val="36"/>
              <w:rPr>
                <w:sz w:val="18"/>
              </w:rPr>
            </w:pPr>
            <w:r>
              <w:rPr>
                <w:sz w:val="18"/>
              </w:rPr>
              <w:t>降雨</w:t>
            </w:r>
          </w:p>
        </w:tc>
      </w:tr>
      <w:tr w14:paraId="7B6A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68" w:hRule="atLeast"/>
          <w:jc w:val="center"/>
        </w:trPr>
        <w:tc>
          <w:tcPr>
            <w:tcW w:w="307" w:type="pct"/>
            <w:vMerge w:val="restart"/>
            <w:vAlign w:val="center"/>
          </w:tcPr>
          <w:p w14:paraId="0AB8E9A5">
            <w:pPr>
              <w:pStyle w:val="36"/>
              <w:rPr>
                <w:sz w:val="18"/>
              </w:rPr>
            </w:pPr>
            <w:r>
              <w:rPr>
                <w:sz w:val="18"/>
              </w:rPr>
              <w:t>右江段</w:t>
            </w:r>
          </w:p>
        </w:tc>
        <w:tc>
          <w:tcPr>
            <w:tcW w:w="455" w:type="pct"/>
            <w:vAlign w:val="center"/>
          </w:tcPr>
          <w:p w14:paraId="6639051D">
            <w:pPr>
              <w:pStyle w:val="36"/>
              <w:rPr>
                <w:sz w:val="18"/>
              </w:rPr>
            </w:pPr>
            <w:r>
              <w:rPr>
                <w:sz w:val="18"/>
              </w:rPr>
              <w:t>百色</w:t>
            </w:r>
          </w:p>
        </w:tc>
        <w:tc>
          <w:tcPr>
            <w:tcW w:w="549" w:type="pct"/>
            <w:vAlign w:val="center"/>
          </w:tcPr>
          <w:p w14:paraId="719673CB">
            <w:pPr>
              <w:pStyle w:val="36"/>
              <w:rPr>
                <w:sz w:val="18"/>
              </w:rPr>
            </w:pPr>
            <w:r>
              <w:rPr>
                <w:sz w:val="18"/>
              </w:rPr>
              <w:t>百色市拉域村</w:t>
            </w:r>
          </w:p>
        </w:tc>
        <w:tc>
          <w:tcPr>
            <w:tcW w:w="640" w:type="pct"/>
            <w:vAlign w:val="center"/>
          </w:tcPr>
          <w:p w14:paraId="45B41132">
            <w:pPr>
              <w:pStyle w:val="36"/>
              <w:rPr>
                <w:sz w:val="18"/>
              </w:rPr>
            </w:pPr>
            <w:r>
              <w:rPr>
                <w:sz w:val="18"/>
              </w:rPr>
              <w:t>21720</w:t>
            </w:r>
          </w:p>
          <w:p w14:paraId="40035CA7">
            <w:pPr>
              <w:pStyle w:val="36"/>
              <w:rPr>
                <w:sz w:val="18"/>
              </w:rPr>
            </w:pPr>
            <w:r>
              <w:rPr>
                <w:sz w:val="18"/>
              </w:rPr>
              <w:t>（三站）</w:t>
            </w:r>
          </w:p>
        </w:tc>
        <w:tc>
          <w:tcPr>
            <w:tcW w:w="761" w:type="pct"/>
            <w:vAlign w:val="center"/>
          </w:tcPr>
          <w:p w14:paraId="69D1CD7A">
            <w:pPr>
              <w:pStyle w:val="36"/>
              <w:rPr>
                <w:sz w:val="18"/>
              </w:rPr>
            </w:pPr>
            <w:r>
              <w:rPr>
                <w:sz w:val="18"/>
              </w:rPr>
              <w:t>1936.9~1940.6</w:t>
            </w:r>
          </w:p>
          <w:p w14:paraId="0F11CF39">
            <w:pPr>
              <w:pStyle w:val="36"/>
              <w:rPr>
                <w:sz w:val="18"/>
              </w:rPr>
            </w:pPr>
            <w:r>
              <w:rPr>
                <w:sz w:val="18"/>
              </w:rPr>
              <w:t>1940.8~1944.6</w:t>
            </w:r>
          </w:p>
          <w:p w14:paraId="2BDA7D60">
            <w:pPr>
              <w:pStyle w:val="36"/>
              <w:rPr>
                <w:sz w:val="18"/>
              </w:rPr>
            </w:pPr>
            <w:r>
              <w:rPr>
                <w:sz w:val="18"/>
              </w:rPr>
              <w:t>1946.1~今</w:t>
            </w:r>
          </w:p>
        </w:tc>
        <w:tc>
          <w:tcPr>
            <w:tcW w:w="761" w:type="pct"/>
            <w:vAlign w:val="center"/>
          </w:tcPr>
          <w:p w14:paraId="69DD9111">
            <w:pPr>
              <w:pStyle w:val="36"/>
              <w:rPr>
                <w:sz w:val="18"/>
              </w:rPr>
            </w:pPr>
            <w:r>
              <w:rPr>
                <w:sz w:val="18"/>
              </w:rPr>
              <w:t>1936.9~1940.6</w:t>
            </w:r>
          </w:p>
          <w:p w14:paraId="0708E876">
            <w:pPr>
              <w:pStyle w:val="36"/>
              <w:rPr>
                <w:sz w:val="18"/>
              </w:rPr>
            </w:pPr>
            <w:r>
              <w:rPr>
                <w:sz w:val="18"/>
              </w:rPr>
              <w:t>1940.8~1944.6</w:t>
            </w:r>
          </w:p>
          <w:p w14:paraId="47AC17AD">
            <w:pPr>
              <w:pStyle w:val="36"/>
              <w:rPr>
                <w:sz w:val="18"/>
              </w:rPr>
            </w:pPr>
            <w:r>
              <w:rPr>
                <w:sz w:val="18"/>
              </w:rPr>
              <w:t>1946.1~1949.6</w:t>
            </w:r>
          </w:p>
          <w:p w14:paraId="4BBCA58A">
            <w:pPr>
              <w:pStyle w:val="36"/>
              <w:rPr>
                <w:sz w:val="18"/>
              </w:rPr>
            </w:pPr>
            <w:r>
              <w:rPr>
                <w:sz w:val="18"/>
              </w:rPr>
              <w:t>1950.1~1952.12</w:t>
            </w:r>
          </w:p>
          <w:p w14:paraId="56CFDE1E">
            <w:pPr>
              <w:pStyle w:val="36"/>
              <w:rPr>
                <w:sz w:val="18"/>
              </w:rPr>
            </w:pPr>
            <w:r>
              <w:rPr>
                <w:sz w:val="18"/>
              </w:rPr>
              <w:t>1955.6~今</w:t>
            </w:r>
          </w:p>
        </w:tc>
        <w:tc>
          <w:tcPr>
            <w:tcW w:w="761" w:type="pct"/>
            <w:vAlign w:val="center"/>
          </w:tcPr>
          <w:p w14:paraId="6D14B72E">
            <w:pPr>
              <w:pStyle w:val="36"/>
              <w:rPr>
                <w:sz w:val="18"/>
              </w:rPr>
            </w:pPr>
            <w:r>
              <w:rPr>
                <w:sz w:val="18"/>
              </w:rPr>
              <w:t>1940.5~1941.12</w:t>
            </w:r>
          </w:p>
          <w:p w14:paraId="4A332BBF">
            <w:pPr>
              <w:pStyle w:val="36"/>
              <w:rPr>
                <w:sz w:val="18"/>
              </w:rPr>
            </w:pPr>
            <w:r>
              <w:rPr>
                <w:sz w:val="18"/>
              </w:rPr>
              <w:t>1942.5~1944.6</w:t>
            </w:r>
          </w:p>
          <w:p w14:paraId="61FECF66">
            <w:pPr>
              <w:pStyle w:val="36"/>
              <w:rPr>
                <w:sz w:val="18"/>
              </w:rPr>
            </w:pPr>
            <w:r>
              <w:rPr>
                <w:sz w:val="18"/>
              </w:rPr>
              <w:t>1946.1~1947.9</w:t>
            </w:r>
          </w:p>
          <w:p w14:paraId="701A10DD">
            <w:pPr>
              <w:pStyle w:val="36"/>
              <w:rPr>
                <w:sz w:val="18"/>
              </w:rPr>
            </w:pPr>
            <w:r>
              <w:rPr>
                <w:sz w:val="18"/>
              </w:rPr>
              <w:t>1948.1~1949.5</w:t>
            </w:r>
          </w:p>
          <w:p w14:paraId="63CC88EE">
            <w:pPr>
              <w:pStyle w:val="36"/>
              <w:rPr>
                <w:sz w:val="18"/>
              </w:rPr>
            </w:pPr>
            <w:r>
              <w:rPr>
                <w:sz w:val="18"/>
              </w:rPr>
              <w:t>1950.6~1952.9</w:t>
            </w:r>
          </w:p>
          <w:p w14:paraId="22A166F2">
            <w:pPr>
              <w:pStyle w:val="36"/>
              <w:rPr>
                <w:sz w:val="18"/>
              </w:rPr>
            </w:pPr>
            <w:r>
              <w:rPr>
                <w:sz w:val="18"/>
              </w:rPr>
              <w:t>1956.6~1961.7</w:t>
            </w:r>
          </w:p>
          <w:p w14:paraId="163A2B44">
            <w:pPr>
              <w:pStyle w:val="36"/>
              <w:rPr>
                <w:sz w:val="18"/>
              </w:rPr>
            </w:pPr>
            <w:r>
              <w:rPr>
                <w:sz w:val="18"/>
              </w:rPr>
              <w:t>1965.1~今</w:t>
            </w:r>
          </w:p>
        </w:tc>
        <w:tc>
          <w:tcPr>
            <w:tcW w:w="761" w:type="pct"/>
            <w:vAlign w:val="center"/>
          </w:tcPr>
          <w:p w14:paraId="5448BDF1">
            <w:pPr>
              <w:pStyle w:val="36"/>
              <w:rPr>
                <w:sz w:val="18"/>
              </w:rPr>
            </w:pPr>
            <w:r>
              <w:rPr>
                <w:sz w:val="18"/>
              </w:rPr>
              <w:t>1916~1929.9</w:t>
            </w:r>
          </w:p>
          <w:p w14:paraId="4584276C">
            <w:pPr>
              <w:pStyle w:val="36"/>
              <w:rPr>
                <w:sz w:val="18"/>
              </w:rPr>
            </w:pPr>
            <w:r>
              <w:rPr>
                <w:sz w:val="18"/>
              </w:rPr>
              <w:t>1933.8~1937.2</w:t>
            </w:r>
          </w:p>
          <w:p w14:paraId="261F110A">
            <w:pPr>
              <w:pStyle w:val="36"/>
              <w:rPr>
                <w:sz w:val="18"/>
              </w:rPr>
            </w:pPr>
            <w:r>
              <w:rPr>
                <w:sz w:val="18"/>
              </w:rPr>
              <w:t>1937.5~1944.9</w:t>
            </w:r>
          </w:p>
          <w:p w14:paraId="36AC759B">
            <w:pPr>
              <w:pStyle w:val="36"/>
              <w:rPr>
                <w:sz w:val="18"/>
              </w:rPr>
            </w:pPr>
            <w:r>
              <w:rPr>
                <w:sz w:val="18"/>
              </w:rPr>
              <w:t>1945.5~今</w:t>
            </w:r>
          </w:p>
        </w:tc>
      </w:tr>
      <w:tr w14:paraId="0801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68" w:hRule="atLeast"/>
          <w:jc w:val="center"/>
        </w:trPr>
        <w:tc>
          <w:tcPr>
            <w:tcW w:w="307" w:type="pct"/>
            <w:vMerge w:val="continue"/>
            <w:vAlign w:val="center"/>
          </w:tcPr>
          <w:p w14:paraId="57C4A61C">
            <w:pPr>
              <w:pStyle w:val="36"/>
              <w:rPr>
                <w:sz w:val="18"/>
              </w:rPr>
            </w:pPr>
          </w:p>
        </w:tc>
        <w:tc>
          <w:tcPr>
            <w:tcW w:w="455" w:type="pct"/>
            <w:vAlign w:val="center"/>
          </w:tcPr>
          <w:p w14:paraId="47333314">
            <w:pPr>
              <w:pStyle w:val="36"/>
              <w:rPr>
                <w:sz w:val="18"/>
              </w:rPr>
            </w:pPr>
            <w:r>
              <w:rPr>
                <w:sz w:val="18"/>
              </w:rPr>
              <w:t>下颜（隆安）</w:t>
            </w:r>
          </w:p>
        </w:tc>
        <w:tc>
          <w:tcPr>
            <w:tcW w:w="549" w:type="pct"/>
            <w:vAlign w:val="center"/>
          </w:tcPr>
          <w:p w14:paraId="748A9884">
            <w:pPr>
              <w:pStyle w:val="36"/>
              <w:rPr>
                <w:sz w:val="18"/>
              </w:rPr>
            </w:pPr>
            <w:r>
              <w:rPr>
                <w:sz w:val="18"/>
              </w:rPr>
              <w:t>隆安县雁江乡中雁村</w:t>
            </w:r>
          </w:p>
        </w:tc>
        <w:tc>
          <w:tcPr>
            <w:tcW w:w="640" w:type="pct"/>
            <w:vAlign w:val="center"/>
          </w:tcPr>
          <w:p w14:paraId="18762ABF">
            <w:pPr>
              <w:pStyle w:val="36"/>
              <w:rPr>
                <w:sz w:val="18"/>
              </w:rPr>
            </w:pPr>
            <w:r>
              <w:rPr>
                <w:sz w:val="18"/>
              </w:rPr>
              <w:t>31756</w:t>
            </w:r>
          </w:p>
          <w:p w14:paraId="1608043D">
            <w:pPr>
              <w:pStyle w:val="36"/>
              <w:rPr>
                <w:sz w:val="18"/>
              </w:rPr>
            </w:pPr>
            <w:r>
              <w:rPr>
                <w:sz w:val="18"/>
              </w:rPr>
              <w:t>(32709)</w:t>
            </w:r>
          </w:p>
        </w:tc>
        <w:tc>
          <w:tcPr>
            <w:tcW w:w="761" w:type="pct"/>
            <w:vAlign w:val="center"/>
          </w:tcPr>
          <w:p w14:paraId="73B8222E">
            <w:pPr>
              <w:pStyle w:val="36"/>
              <w:rPr>
                <w:sz w:val="18"/>
              </w:rPr>
            </w:pPr>
            <w:r>
              <w:rPr>
                <w:sz w:val="18"/>
              </w:rPr>
              <w:t>1957.7~今</w:t>
            </w:r>
          </w:p>
        </w:tc>
        <w:tc>
          <w:tcPr>
            <w:tcW w:w="761" w:type="pct"/>
            <w:vAlign w:val="center"/>
          </w:tcPr>
          <w:p w14:paraId="4175FA5F">
            <w:pPr>
              <w:pStyle w:val="36"/>
              <w:rPr>
                <w:sz w:val="18"/>
              </w:rPr>
            </w:pPr>
            <w:r>
              <w:rPr>
                <w:sz w:val="18"/>
              </w:rPr>
              <w:t>1957.7~今</w:t>
            </w:r>
          </w:p>
        </w:tc>
        <w:tc>
          <w:tcPr>
            <w:tcW w:w="761" w:type="pct"/>
            <w:vAlign w:val="center"/>
          </w:tcPr>
          <w:p w14:paraId="20C02092">
            <w:pPr>
              <w:pStyle w:val="36"/>
              <w:rPr>
                <w:sz w:val="18"/>
              </w:rPr>
            </w:pPr>
            <w:r>
              <w:rPr>
                <w:sz w:val="18"/>
              </w:rPr>
              <w:t>1957.7~今</w:t>
            </w:r>
          </w:p>
        </w:tc>
        <w:tc>
          <w:tcPr>
            <w:tcW w:w="761" w:type="pct"/>
            <w:vAlign w:val="center"/>
          </w:tcPr>
          <w:p w14:paraId="09255C55">
            <w:pPr>
              <w:pStyle w:val="36"/>
              <w:rPr>
                <w:sz w:val="18"/>
              </w:rPr>
            </w:pPr>
            <w:r>
              <w:rPr>
                <w:sz w:val="18"/>
              </w:rPr>
              <w:t>1958~今</w:t>
            </w:r>
          </w:p>
        </w:tc>
      </w:tr>
      <w:tr w14:paraId="3786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52" w:hRule="atLeast"/>
          <w:jc w:val="center"/>
        </w:trPr>
        <w:tc>
          <w:tcPr>
            <w:tcW w:w="307" w:type="pct"/>
            <w:vMerge w:val="restart"/>
            <w:vAlign w:val="center"/>
          </w:tcPr>
          <w:p w14:paraId="475D1F84">
            <w:pPr>
              <w:pStyle w:val="36"/>
              <w:rPr>
                <w:sz w:val="18"/>
              </w:rPr>
            </w:pPr>
            <w:r>
              <w:rPr>
                <w:sz w:val="18"/>
              </w:rPr>
              <w:t>左江段</w:t>
            </w:r>
          </w:p>
        </w:tc>
        <w:tc>
          <w:tcPr>
            <w:tcW w:w="455" w:type="pct"/>
            <w:vAlign w:val="center"/>
          </w:tcPr>
          <w:p w14:paraId="42E4E749">
            <w:pPr>
              <w:pStyle w:val="36"/>
              <w:rPr>
                <w:sz w:val="18"/>
              </w:rPr>
            </w:pPr>
            <w:r>
              <w:rPr>
                <w:sz w:val="18"/>
              </w:rPr>
              <w:t>龙州</w:t>
            </w:r>
          </w:p>
        </w:tc>
        <w:tc>
          <w:tcPr>
            <w:tcW w:w="549" w:type="pct"/>
            <w:vAlign w:val="center"/>
          </w:tcPr>
          <w:p w14:paraId="1948BB24">
            <w:pPr>
              <w:pStyle w:val="36"/>
              <w:rPr>
                <w:sz w:val="18"/>
              </w:rPr>
            </w:pPr>
            <w:r>
              <w:rPr>
                <w:sz w:val="18"/>
              </w:rPr>
              <w:t>龙州县城</w:t>
            </w:r>
          </w:p>
        </w:tc>
        <w:tc>
          <w:tcPr>
            <w:tcW w:w="640" w:type="pct"/>
            <w:vAlign w:val="center"/>
          </w:tcPr>
          <w:p w14:paraId="55CF8982">
            <w:pPr>
              <w:pStyle w:val="36"/>
              <w:rPr>
                <w:sz w:val="18"/>
              </w:rPr>
            </w:pPr>
            <w:r>
              <w:rPr>
                <w:sz w:val="18"/>
              </w:rPr>
              <w:t>12776</w:t>
            </w:r>
          </w:p>
          <w:p w14:paraId="466A4D3A">
            <w:pPr>
              <w:pStyle w:val="36"/>
              <w:rPr>
                <w:sz w:val="18"/>
              </w:rPr>
            </w:pPr>
            <w:r>
              <w:rPr>
                <w:sz w:val="18"/>
              </w:rPr>
              <w:t>（河流特征）</w:t>
            </w:r>
          </w:p>
          <w:p w14:paraId="02149787">
            <w:pPr>
              <w:pStyle w:val="36"/>
              <w:rPr>
                <w:sz w:val="18"/>
              </w:rPr>
            </w:pPr>
            <w:r>
              <w:rPr>
                <w:sz w:val="18"/>
              </w:rPr>
              <w:t>12465</w:t>
            </w:r>
          </w:p>
          <w:p w14:paraId="7E02A496">
            <w:pPr>
              <w:pStyle w:val="36"/>
              <w:rPr>
                <w:sz w:val="18"/>
              </w:rPr>
            </w:pPr>
            <w:r>
              <w:rPr>
                <w:sz w:val="18"/>
              </w:rPr>
              <w:t>（三站）</w:t>
            </w:r>
          </w:p>
        </w:tc>
        <w:tc>
          <w:tcPr>
            <w:tcW w:w="761" w:type="pct"/>
            <w:vAlign w:val="center"/>
          </w:tcPr>
          <w:p w14:paraId="2C2A2582">
            <w:pPr>
              <w:pStyle w:val="36"/>
              <w:rPr>
                <w:sz w:val="18"/>
              </w:rPr>
            </w:pPr>
            <w:r>
              <w:rPr>
                <w:sz w:val="18"/>
              </w:rPr>
              <w:t>1897.1~1898.1</w:t>
            </w:r>
          </w:p>
          <w:p w14:paraId="1A271FC8">
            <w:pPr>
              <w:pStyle w:val="36"/>
              <w:rPr>
                <w:sz w:val="18"/>
              </w:rPr>
            </w:pPr>
            <w:r>
              <w:rPr>
                <w:sz w:val="18"/>
              </w:rPr>
              <w:t>1898.3~1898.6</w:t>
            </w:r>
          </w:p>
          <w:p w14:paraId="5824535F">
            <w:pPr>
              <w:pStyle w:val="36"/>
              <w:rPr>
                <w:sz w:val="18"/>
              </w:rPr>
            </w:pPr>
            <w:r>
              <w:rPr>
                <w:sz w:val="18"/>
              </w:rPr>
              <w:t>1899.6~1899.7</w:t>
            </w:r>
          </w:p>
          <w:p w14:paraId="3F69D38B">
            <w:pPr>
              <w:pStyle w:val="36"/>
              <w:rPr>
                <w:sz w:val="18"/>
              </w:rPr>
            </w:pPr>
            <w:r>
              <w:rPr>
                <w:sz w:val="18"/>
              </w:rPr>
              <w:t>1899.9~1915.12</w:t>
            </w:r>
          </w:p>
          <w:p w14:paraId="33881B0E">
            <w:pPr>
              <w:pStyle w:val="36"/>
              <w:rPr>
                <w:sz w:val="18"/>
              </w:rPr>
            </w:pPr>
            <w:r>
              <w:rPr>
                <w:sz w:val="18"/>
              </w:rPr>
              <w:t>1919.10~1927.9</w:t>
            </w:r>
          </w:p>
          <w:p w14:paraId="40D86EF5">
            <w:pPr>
              <w:pStyle w:val="36"/>
              <w:rPr>
                <w:sz w:val="18"/>
              </w:rPr>
            </w:pPr>
            <w:r>
              <w:rPr>
                <w:sz w:val="18"/>
              </w:rPr>
              <w:t>1928.1~1929.6</w:t>
            </w:r>
          </w:p>
          <w:p w14:paraId="023F679D">
            <w:pPr>
              <w:pStyle w:val="36"/>
              <w:rPr>
                <w:sz w:val="18"/>
              </w:rPr>
            </w:pPr>
            <w:r>
              <w:rPr>
                <w:sz w:val="18"/>
              </w:rPr>
              <w:t>1929.10~1929.12</w:t>
            </w:r>
          </w:p>
          <w:p w14:paraId="59177228">
            <w:pPr>
              <w:pStyle w:val="36"/>
              <w:rPr>
                <w:sz w:val="18"/>
              </w:rPr>
            </w:pPr>
            <w:r>
              <w:rPr>
                <w:sz w:val="18"/>
              </w:rPr>
              <w:t>1932.1~1939.10</w:t>
            </w:r>
          </w:p>
          <w:p w14:paraId="06D81A03">
            <w:pPr>
              <w:pStyle w:val="36"/>
              <w:rPr>
                <w:sz w:val="18"/>
              </w:rPr>
            </w:pPr>
            <w:r>
              <w:rPr>
                <w:sz w:val="18"/>
              </w:rPr>
              <w:t>1941.11~1944.10</w:t>
            </w:r>
          </w:p>
          <w:p w14:paraId="46F259C0">
            <w:pPr>
              <w:pStyle w:val="36"/>
              <w:rPr>
                <w:sz w:val="18"/>
              </w:rPr>
            </w:pPr>
            <w:r>
              <w:rPr>
                <w:sz w:val="18"/>
              </w:rPr>
              <w:t>1945.9~今</w:t>
            </w:r>
          </w:p>
        </w:tc>
        <w:tc>
          <w:tcPr>
            <w:tcW w:w="761" w:type="pct"/>
            <w:vAlign w:val="center"/>
          </w:tcPr>
          <w:p w14:paraId="14F7B47C">
            <w:pPr>
              <w:pStyle w:val="36"/>
              <w:rPr>
                <w:sz w:val="18"/>
              </w:rPr>
            </w:pPr>
            <w:r>
              <w:rPr>
                <w:sz w:val="18"/>
              </w:rPr>
              <w:t>1942.1~1944.10</w:t>
            </w:r>
          </w:p>
          <w:p w14:paraId="6C66635D">
            <w:pPr>
              <w:pStyle w:val="36"/>
              <w:rPr>
                <w:sz w:val="18"/>
              </w:rPr>
            </w:pPr>
            <w:r>
              <w:rPr>
                <w:sz w:val="18"/>
              </w:rPr>
              <w:t>1946.1~1952</w:t>
            </w:r>
          </w:p>
          <w:p w14:paraId="72F8A64B">
            <w:pPr>
              <w:pStyle w:val="36"/>
              <w:rPr>
                <w:sz w:val="18"/>
              </w:rPr>
            </w:pPr>
            <w:r>
              <w:rPr>
                <w:sz w:val="18"/>
              </w:rPr>
              <w:t>1955.1~今</w:t>
            </w:r>
          </w:p>
        </w:tc>
        <w:tc>
          <w:tcPr>
            <w:tcW w:w="761" w:type="pct"/>
            <w:vAlign w:val="center"/>
          </w:tcPr>
          <w:p w14:paraId="5B3C98E8">
            <w:pPr>
              <w:pStyle w:val="36"/>
              <w:rPr>
                <w:sz w:val="18"/>
              </w:rPr>
            </w:pPr>
            <w:r>
              <w:rPr>
                <w:sz w:val="18"/>
              </w:rPr>
              <w:t>1941.11~1944.12</w:t>
            </w:r>
          </w:p>
          <w:p w14:paraId="4C209877">
            <w:pPr>
              <w:pStyle w:val="36"/>
              <w:rPr>
                <w:sz w:val="18"/>
              </w:rPr>
            </w:pPr>
            <w:r>
              <w:rPr>
                <w:sz w:val="18"/>
              </w:rPr>
              <w:t>1945.11~1945.12</w:t>
            </w:r>
          </w:p>
          <w:p w14:paraId="566CB719">
            <w:pPr>
              <w:pStyle w:val="36"/>
              <w:rPr>
                <w:sz w:val="18"/>
              </w:rPr>
            </w:pPr>
            <w:r>
              <w:rPr>
                <w:sz w:val="18"/>
              </w:rPr>
              <w:t>1946.1~1950.1</w:t>
            </w:r>
          </w:p>
          <w:p w14:paraId="7C9E7A7A">
            <w:pPr>
              <w:pStyle w:val="36"/>
              <w:rPr>
                <w:sz w:val="18"/>
              </w:rPr>
            </w:pPr>
            <w:r>
              <w:rPr>
                <w:sz w:val="18"/>
              </w:rPr>
              <w:t>1951.4~1952.12</w:t>
            </w:r>
          </w:p>
          <w:p w14:paraId="03C0B707">
            <w:pPr>
              <w:pStyle w:val="36"/>
              <w:rPr>
                <w:sz w:val="18"/>
              </w:rPr>
            </w:pPr>
            <w:r>
              <w:rPr>
                <w:sz w:val="18"/>
              </w:rPr>
              <w:t>1955.9~1957</w:t>
            </w:r>
          </w:p>
        </w:tc>
        <w:tc>
          <w:tcPr>
            <w:tcW w:w="761" w:type="pct"/>
            <w:vAlign w:val="center"/>
          </w:tcPr>
          <w:p w14:paraId="60B4C8B2">
            <w:pPr>
              <w:pStyle w:val="36"/>
              <w:rPr>
                <w:sz w:val="18"/>
              </w:rPr>
            </w:pPr>
            <w:r>
              <w:rPr>
                <w:sz w:val="18"/>
              </w:rPr>
              <w:t>1940.1~1940.6</w:t>
            </w:r>
          </w:p>
          <w:p w14:paraId="6397DD99">
            <w:pPr>
              <w:pStyle w:val="36"/>
              <w:rPr>
                <w:sz w:val="18"/>
              </w:rPr>
            </w:pPr>
            <w:r>
              <w:rPr>
                <w:sz w:val="18"/>
              </w:rPr>
              <w:t>1941.10~1944.11</w:t>
            </w:r>
          </w:p>
          <w:p w14:paraId="59CD232C">
            <w:pPr>
              <w:pStyle w:val="36"/>
              <w:rPr>
                <w:sz w:val="18"/>
              </w:rPr>
            </w:pPr>
            <w:r>
              <w:rPr>
                <w:sz w:val="18"/>
              </w:rPr>
              <w:t>1945.8~今</w:t>
            </w:r>
          </w:p>
        </w:tc>
      </w:tr>
      <w:tr w14:paraId="3F51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52" w:hRule="atLeast"/>
          <w:jc w:val="center"/>
        </w:trPr>
        <w:tc>
          <w:tcPr>
            <w:tcW w:w="307" w:type="pct"/>
            <w:vMerge w:val="continue"/>
            <w:vAlign w:val="center"/>
          </w:tcPr>
          <w:p w14:paraId="5072328B">
            <w:pPr>
              <w:pStyle w:val="36"/>
              <w:rPr>
                <w:sz w:val="18"/>
              </w:rPr>
            </w:pPr>
          </w:p>
        </w:tc>
        <w:tc>
          <w:tcPr>
            <w:tcW w:w="455" w:type="pct"/>
            <w:vAlign w:val="center"/>
          </w:tcPr>
          <w:p w14:paraId="30FC8C05">
            <w:pPr>
              <w:pStyle w:val="36"/>
              <w:rPr>
                <w:sz w:val="18"/>
              </w:rPr>
            </w:pPr>
            <w:r>
              <w:rPr>
                <w:sz w:val="18"/>
              </w:rPr>
              <w:t>濑湍（崇左）</w:t>
            </w:r>
          </w:p>
        </w:tc>
        <w:tc>
          <w:tcPr>
            <w:tcW w:w="549" w:type="pct"/>
            <w:vAlign w:val="center"/>
          </w:tcPr>
          <w:p w14:paraId="045B2B81">
            <w:pPr>
              <w:pStyle w:val="36"/>
              <w:rPr>
                <w:sz w:val="18"/>
              </w:rPr>
            </w:pPr>
            <w:r>
              <w:rPr>
                <w:sz w:val="18"/>
              </w:rPr>
              <w:t>崇左县濑湍乡濑湍村</w:t>
            </w:r>
          </w:p>
        </w:tc>
        <w:tc>
          <w:tcPr>
            <w:tcW w:w="640" w:type="pct"/>
            <w:vAlign w:val="center"/>
          </w:tcPr>
          <w:p w14:paraId="3AFAB90A">
            <w:pPr>
              <w:pStyle w:val="36"/>
              <w:rPr>
                <w:sz w:val="18"/>
              </w:rPr>
            </w:pPr>
            <w:r>
              <w:rPr>
                <w:sz w:val="18"/>
              </w:rPr>
              <w:t>27176(26823)</w:t>
            </w:r>
          </w:p>
        </w:tc>
        <w:tc>
          <w:tcPr>
            <w:tcW w:w="761" w:type="pct"/>
            <w:vAlign w:val="center"/>
          </w:tcPr>
          <w:p w14:paraId="6C5D0FD0">
            <w:pPr>
              <w:pStyle w:val="36"/>
              <w:rPr>
                <w:sz w:val="18"/>
              </w:rPr>
            </w:pPr>
            <w:r>
              <w:rPr>
                <w:sz w:val="18"/>
              </w:rPr>
              <w:t>1954.5~今</w:t>
            </w:r>
          </w:p>
        </w:tc>
        <w:tc>
          <w:tcPr>
            <w:tcW w:w="761" w:type="pct"/>
            <w:vAlign w:val="center"/>
          </w:tcPr>
          <w:p w14:paraId="3FFD033B">
            <w:pPr>
              <w:pStyle w:val="36"/>
              <w:rPr>
                <w:sz w:val="18"/>
              </w:rPr>
            </w:pPr>
            <w:r>
              <w:rPr>
                <w:sz w:val="18"/>
              </w:rPr>
              <w:t>1954.5~今</w:t>
            </w:r>
          </w:p>
        </w:tc>
        <w:tc>
          <w:tcPr>
            <w:tcW w:w="761" w:type="pct"/>
            <w:vAlign w:val="center"/>
          </w:tcPr>
          <w:p w14:paraId="2B14B07F">
            <w:pPr>
              <w:pStyle w:val="36"/>
              <w:rPr>
                <w:sz w:val="18"/>
              </w:rPr>
            </w:pPr>
            <w:r>
              <w:rPr>
                <w:sz w:val="18"/>
              </w:rPr>
              <w:t>1954.5~今</w:t>
            </w:r>
          </w:p>
        </w:tc>
        <w:tc>
          <w:tcPr>
            <w:tcW w:w="761" w:type="pct"/>
            <w:vAlign w:val="center"/>
          </w:tcPr>
          <w:p w14:paraId="0E2AC090">
            <w:pPr>
              <w:pStyle w:val="36"/>
              <w:rPr>
                <w:sz w:val="18"/>
              </w:rPr>
            </w:pPr>
            <w:r>
              <w:rPr>
                <w:sz w:val="18"/>
              </w:rPr>
              <w:t>1954.5~今</w:t>
            </w:r>
          </w:p>
        </w:tc>
      </w:tr>
      <w:tr w14:paraId="5A32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68" w:hRule="atLeast"/>
          <w:jc w:val="center"/>
        </w:trPr>
        <w:tc>
          <w:tcPr>
            <w:tcW w:w="307" w:type="pct"/>
            <w:vMerge w:val="restart"/>
            <w:vAlign w:val="center"/>
          </w:tcPr>
          <w:p w14:paraId="3F68682F">
            <w:pPr>
              <w:pStyle w:val="36"/>
              <w:rPr>
                <w:sz w:val="18"/>
              </w:rPr>
            </w:pPr>
            <w:r>
              <w:rPr>
                <w:sz w:val="18"/>
              </w:rPr>
              <w:t>郁江河段</w:t>
            </w:r>
          </w:p>
        </w:tc>
        <w:tc>
          <w:tcPr>
            <w:tcW w:w="455" w:type="pct"/>
            <w:vAlign w:val="center"/>
          </w:tcPr>
          <w:p w14:paraId="765868F2">
            <w:pPr>
              <w:pStyle w:val="36"/>
              <w:rPr>
                <w:sz w:val="18"/>
              </w:rPr>
            </w:pPr>
            <w:r>
              <w:rPr>
                <w:sz w:val="18"/>
              </w:rPr>
              <w:t>南宁</w:t>
            </w:r>
          </w:p>
        </w:tc>
        <w:tc>
          <w:tcPr>
            <w:tcW w:w="549" w:type="pct"/>
            <w:vAlign w:val="center"/>
          </w:tcPr>
          <w:p w14:paraId="677EDC46">
            <w:pPr>
              <w:pStyle w:val="36"/>
              <w:rPr>
                <w:sz w:val="18"/>
              </w:rPr>
            </w:pPr>
            <w:r>
              <w:rPr>
                <w:sz w:val="18"/>
              </w:rPr>
              <w:t>南宁市西乡塘</w:t>
            </w:r>
          </w:p>
        </w:tc>
        <w:tc>
          <w:tcPr>
            <w:tcW w:w="640" w:type="pct"/>
            <w:vAlign w:val="center"/>
          </w:tcPr>
          <w:p w14:paraId="3643CFB0">
            <w:pPr>
              <w:pStyle w:val="36"/>
              <w:rPr>
                <w:sz w:val="18"/>
              </w:rPr>
            </w:pPr>
            <w:r>
              <w:rPr>
                <w:sz w:val="18"/>
              </w:rPr>
              <w:t>72656</w:t>
            </w:r>
          </w:p>
          <w:p w14:paraId="132C891D">
            <w:pPr>
              <w:pStyle w:val="36"/>
              <w:rPr>
                <w:sz w:val="18"/>
              </w:rPr>
            </w:pPr>
            <w:r>
              <w:rPr>
                <w:sz w:val="18"/>
              </w:rPr>
              <w:t>（三站）</w:t>
            </w:r>
          </w:p>
        </w:tc>
        <w:tc>
          <w:tcPr>
            <w:tcW w:w="761" w:type="pct"/>
            <w:vAlign w:val="center"/>
          </w:tcPr>
          <w:p w14:paraId="081DBFD1">
            <w:pPr>
              <w:pStyle w:val="36"/>
              <w:rPr>
                <w:sz w:val="18"/>
              </w:rPr>
            </w:pPr>
            <w:r>
              <w:rPr>
                <w:sz w:val="18"/>
              </w:rPr>
              <w:t>1907.5~1915</w:t>
            </w:r>
          </w:p>
          <w:p w14:paraId="21E75ACE">
            <w:pPr>
              <w:pStyle w:val="36"/>
              <w:rPr>
                <w:sz w:val="18"/>
              </w:rPr>
            </w:pPr>
            <w:r>
              <w:rPr>
                <w:sz w:val="18"/>
              </w:rPr>
              <w:t>1936.6~1939.11</w:t>
            </w:r>
          </w:p>
          <w:p w14:paraId="4A032306">
            <w:pPr>
              <w:pStyle w:val="36"/>
              <w:rPr>
                <w:sz w:val="18"/>
              </w:rPr>
            </w:pPr>
            <w:r>
              <w:rPr>
                <w:sz w:val="18"/>
              </w:rPr>
              <w:t>1941.11~1944.9</w:t>
            </w:r>
          </w:p>
          <w:p w14:paraId="7B0AD071">
            <w:pPr>
              <w:pStyle w:val="36"/>
              <w:rPr>
                <w:sz w:val="18"/>
              </w:rPr>
            </w:pPr>
            <w:r>
              <w:rPr>
                <w:sz w:val="18"/>
              </w:rPr>
              <w:t>1945.8~今</w:t>
            </w:r>
          </w:p>
        </w:tc>
        <w:tc>
          <w:tcPr>
            <w:tcW w:w="761" w:type="pct"/>
            <w:vAlign w:val="center"/>
          </w:tcPr>
          <w:p w14:paraId="4E0D39EF">
            <w:pPr>
              <w:pStyle w:val="36"/>
              <w:rPr>
                <w:sz w:val="18"/>
              </w:rPr>
            </w:pPr>
            <w:r>
              <w:rPr>
                <w:sz w:val="18"/>
              </w:rPr>
              <w:t>1936.6~1937.7</w:t>
            </w:r>
          </w:p>
          <w:p w14:paraId="467FEE03">
            <w:pPr>
              <w:pStyle w:val="36"/>
              <w:rPr>
                <w:sz w:val="18"/>
              </w:rPr>
            </w:pPr>
            <w:r>
              <w:rPr>
                <w:sz w:val="18"/>
              </w:rPr>
              <w:t>1937.10~1938.12</w:t>
            </w:r>
          </w:p>
          <w:p w14:paraId="6813E0BE">
            <w:pPr>
              <w:pStyle w:val="36"/>
              <w:rPr>
                <w:sz w:val="18"/>
              </w:rPr>
            </w:pPr>
            <w:r>
              <w:rPr>
                <w:sz w:val="18"/>
              </w:rPr>
              <w:t>1947.1~1949.6</w:t>
            </w:r>
          </w:p>
          <w:p w14:paraId="5D7AD62D">
            <w:pPr>
              <w:pStyle w:val="36"/>
              <w:rPr>
                <w:sz w:val="18"/>
              </w:rPr>
            </w:pPr>
            <w:r>
              <w:rPr>
                <w:sz w:val="18"/>
              </w:rPr>
              <w:t>1949.8~今</w:t>
            </w:r>
          </w:p>
        </w:tc>
        <w:tc>
          <w:tcPr>
            <w:tcW w:w="761" w:type="pct"/>
            <w:vAlign w:val="center"/>
          </w:tcPr>
          <w:p w14:paraId="2CA7A933">
            <w:pPr>
              <w:pStyle w:val="36"/>
              <w:rPr>
                <w:sz w:val="18"/>
              </w:rPr>
            </w:pPr>
            <w:r>
              <w:rPr>
                <w:sz w:val="18"/>
              </w:rPr>
              <w:t>1954~今</w:t>
            </w:r>
          </w:p>
        </w:tc>
        <w:tc>
          <w:tcPr>
            <w:tcW w:w="761" w:type="pct"/>
            <w:vAlign w:val="center"/>
          </w:tcPr>
          <w:p w14:paraId="45B2885A">
            <w:pPr>
              <w:pStyle w:val="36"/>
              <w:rPr>
                <w:sz w:val="18"/>
              </w:rPr>
            </w:pPr>
            <w:r>
              <w:rPr>
                <w:sz w:val="18"/>
              </w:rPr>
              <w:t>1907.9~1915</w:t>
            </w:r>
          </w:p>
          <w:p w14:paraId="09F7685D">
            <w:pPr>
              <w:pStyle w:val="36"/>
              <w:rPr>
                <w:sz w:val="18"/>
              </w:rPr>
            </w:pPr>
            <w:r>
              <w:rPr>
                <w:sz w:val="18"/>
              </w:rPr>
              <w:t>1921.7~1930.7</w:t>
            </w:r>
          </w:p>
          <w:p w14:paraId="66F404E8">
            <w:pPr>
              <w:pStyle w:val="36"/>
              <w:rPr>
                <w:sz w:val="18"/>
              </w:rPr>
            </w:pPr>
            <w:r>
              <w:rPr>
                <w:sz w:val="18"/>
              </w:rPr>
              <w:t>1931.5~1939.11</w:t>
            </w:r>
          </w:p>
          <w:p w14:paraId="5A6636D0">
            <w:pPr>
              <w:pStyle w:val="36"/>
              <w:rPr>
                <w:sz w:val="18"/>
              </w:rPr>
            </w:pPr>
            <w:r>
              <w:rPr>
                <w:sz w:val="18"/>
              </w:rPr>
              <w:t>1941.11~1944.9</w:t>
            </w:r>
          </w:p>
          <w:p w14:paraId="453CF027">
            <w:pPr>
              <w:pStyle w:val="36"/>
              <w:rPr>
                <w:sz w:val="18"/>
              </w:rPr>
            </w:pPr>
            <w:r>
              <w:rPr>
                <w:sz w:val="18"/>
              </w:rPr>
              <w:t>1945.8~今</w:t>
            </w:r>
          </w:p>
        </w:tc>
      </w:tr>
      <w:tr w14:paraId="597B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1" w:hRule="atLeast"/>
          <w:jc w:val="center"/>
        </w:trPr>
        <w:tc>
          <w:tcPr>
            <w:tcW w:w="307" w:type="pct"/>
            <w:vMerge w:val="continue"/>
            <w:vAlign w:val="center"/>
          </w:tcPr>
          <w:p w14:paraId="7A549431">
            <w:pPr>
              <w:pStyle w:val="36"/>
              <w:rPr>
                <w:sz w:val="18"/>
              </w:rPr>
            </w:pPr>
          </w:p>
        </w:tc>
        <w:tc>
          <w:tcPr>
            <w:tcW w:w="455" w:type="pct"/>
            <w:vAlign w:val="center"/>
          </w:tcPr>
          <w:p w14:paraId="3DADBFB3">
            <w:pPr>
              <w:pStyle w:val="36"/>
              <w:rPr>
                <w:sz w:val="18"/>
              </w:rPr>
            </w:pPr>
            <w:r>
              <w:rPr>
                <w:sz w:val="18"/>
              </w:rPr>
              <w:t>贵港</w:t>
            </w:r>
          </w:p>
        </w:tc>
        <w:tc>
          <w:tcPr>
            <w:tcW w:w="549" w:type="pct"/>
            <w:vAlign w:val="center"/>
          </w:tcPr>
          <w:p w14:paraId="1E33AD95">
            <w:pPr>
              <w:pStyle w:val="36"/>
              <w:rPr>
                <w:sz w:val="18"/>
              </w:rPr>
            </w:pPr>
            <w:r>
              <w:rPr>
                <w:sz w:val="18"/>
              </w:rPr>
              <w:t>广西贵港附城震塘</w:t>
            </w:r>
          </w:p>
        </w:tc>
        <w:tc>
          <w:tcPr>
            <w:tcW w:w="640" w:type="pct"/>
            <w:vAlign w:val="center"/>
          </w:tcPr>
          <w:p w14:paraId="41FD4E9E">
            <w:pPr>
              <w:pStyle w:val="36"/>
              <w:rPr>
                <w:sz w:val="18"/>
              </w:rPr>
            </w:pPr>
            <w:r>
              <w:rPr>
                <w:sz w:val="18"/>
              </w:rPr>
              <w:t>86333</w:t>
            </w:r>
          </w:p>
        </w:tc>
        <w:tc>
          <w:tcPr>
            <w:tcW w:w="761" w:type="pct"/>
            <w:vAlign w:val="center"/>
          </w:tcPr>
          <w:p w14:paraId="27B6F3E4">
            <w:pPr>
              <w:pStyle w:val="36"/>
              <w:rPr>
                <w:sz w:val="18"/>
              </w:rPr>
            </w:pPr>
            <w:r>
              <w:rPr>
                <w:sz w:val="18"/>
              </w:rPr>
              <w:t>1941.2~1944.9</w:t>
            </w:r>
          </w:p>
          <w:p w14:paraId="2307D4F1">
            <w:pPr>
              <w:pStyle w:val="36"/>
              <w:rPr>
                <w:sz w:val="18"/>
              </w:rPr>
            </w:pPr>
            <w:r>
              <w:rPr>
                <w:sz w:val="18"/>
              </w:rPr>
              <w:t>1947.7~1949.7</w:t>
            </w:r>
          </w:p>
          <w:p w14:paraId="5C2D3D7D">
            <w:pPr>
              <w:pStyle w:val="36"/>
              <w:rPr>
                <w:sz w:val="18"/>
              </w:rPr>
            </w:pPr>
            <w:r>
              <w:rPr>
                <w:sz w:val="18"/>
              </w:rPr>
              <w:t>1951.2~1952.3</w:t>
            </w:r>
          </w:p>
          <w:p w14:paraId="4D437E91">
            <w:pPr>
              <w:pStyle w:val="36"/>
              <w:rPr>
                <w:sz w:val="18"/>
              </w:rPr>
            </w:pPr>
            <w:r>
              <w:rPr>
                <w:sz w:val="18"/>
              </w:rPr>
              <w:t>1952.5~今</w:t>
            </w:r>
          </w:p>
        </w:tc>
        <w:tc>
          <w:tcPr>
            <w:tcW w:w="761" w:type="pct"/>
            <w:vAlign w:val="center"/>
          </w:tcPr>
          <w:p w14:paraId="2DF56F7D">
            <w:pPr>
              <w:pStyle w:val="36"/>
              <w:rPr>
                <w:sz w:val="18"/>
              </w:rPr>
            </w:pPr>
            <w:r>
              <w:rPr>
                <w:sz w:val="18"/>
              </w:rPr>
              <w:t>1938.1~6,8~12</w:t>
            </w:r>
          </w:p>
          <w:p w14:paraId="364BCF87">
            <w:pPr>
              <w:pStyle w:val="36"/>
              <w:rPr>
                <w:sz w:val="18"/>
              </w:rPr>
            </w:pPr>
            <w:r>
              <w:rPr>
                <w:sz w:val="18"/>
              </w:rPr>
              <w:t>1943.1~1944.9</w:t>
            </w:r>
          </w:p>
          <w:p w14:paraId="15361668">
            <w:pPr>
              <w:pStyle w:val="36"/>
              <w:rPr>
                <w:sz w:val="18"/>
              </w:rPr>
            </w:pPr>
            <w:r>
              <w:rPr>
                <w:sz w:val="18"/>
              </w:rPr>
              <w:t>1946.9~1949.12</w:t>
            </w:r>
          </w:p>
          <w:p w14:paraId="2827806E">
            <w:pPr>
              <w:pStyle w:val="36"/>
              <w:rPr>
                <w:sz w:val="18"/>
              </w:rPr>
            </w:pPr>
            <w:r>
              <w:rPr>
                <w:sz w:val="18"/>
              </w:rPr>
              <w:t>1952~今</w:t>
            </w:r>
          </w:p>
        </w:tc>
        <w:tc>
          <w:tcPr>
            <w:tcW w:w="761" w:type="pct"/>
            <w:vAlign w:val="center"/>
          </w:tcPr>
          <w:p w14:paraId="0D1E865F">
            <w:pPr>
              <w:pStyle w:val="36"/>
              <w:rPr>
                <w:sz w:val="18"/>
              </w:rPr>
            </w:pPr>
            <w:r>
              <w:rPr>
                <w:sz w:val="18"/>
              </w:rPr>
              <w:t>1954~1957</w:t>
            </w:r>
          </w:p>
          <w:p w14:paraId="6352AF87">
            <w:pPr>
              <w:pStyle w:val="36"/>
              <w:rPr>
                <w:sz w:val="18"/>
              </w:rPr>
            </w:pPr>
            <w:r>
              <w:rPr>
                <w:sz w:val="18"/>
              </w:rPr>
              <w:t>1966.4~今</w:t>
            </w:r>
          </w:p>
        </w:tc>
        <w:tc>
          <w:tcPr>
            <w:tcW w:w="761" w:type="pct"/>
            <w:vAlign w:val="center"/>
          </w:tcPr>
          <w:p w14:paraId="47C71489">
            <w:pPr>
              <w:pStyle w:val="36"/>
              <w:rPr>
                <w:sz w:val="18"/>
              </w:rPr>
            </w:pPr>
            <w:r>
              <w:rPr>
                <w:sz w:val="18"/>
              </w:rPr>
              <w:t>1918.3~1944</w:t>
            </w:r>
          </w:p>
          <w:p w14:paraId="3E961ABD">
            <w:pPr>
              <w:pStyle w:val="36"/>
              <w:rPr>
                <w:sz w:val="18"/>
              </w:rPr>
            </w:pPr>
            <w:r>
              <w:rPr>
                <w:sz w:val="18"/>
              </w:rPr>
              <w:t>1947~1949.7</w:t>
            </w:r>
          </w:p>
          <w:p w14:paraId="63A5BD9B">
            <w:pPr>
              <w:pStyle w:val="36"/>
              <w:rPr>
                <w:sz w:val="18"/>
              </w:rPr>
            </w:pPr>
            <w:r>
              <w:rPr>
                <w:sz w:val="18"/>
              </w:rPr>
              <w:t>1951.5~今</w:t>
            </w:r>
          </w:p>
        </w:tc>
      </w:tr>
    </w:tbl>
    <w:p w14:paraId="3D5BB45C">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32"/>
          <w:lang w:val="en-US" w:eastAsia="zh-CN"/>
        </w:rPr>
      </w:pPr>
      <w:r>
        <w:rPr>
          <w:rFonts w:hint="eastAsia" w:ascii="仿宋_GB2312" w:hAnsi="宋体"/>
          <w:color w:val="auto"/>
          <w:sz w:val="32"/>
          <w:szCs w:val="32"/>
          <w:lang w:val="en-US" w:eastAsia="zh-CN"/>
        </w:rPr>
        <w:t>3船闸用水量计算</w:t>
      </w:r>
    </w:p>
    <w:p w14:paraId="60CDCF79">
      <w:pPr>
        <w:keepNext w:val="0"/>
        <w:keepLines w:val="0"/>
        <w:pageBreakBefore w:val="0"/>
        <w:kinsoku/>
        <w:overflowPunct/>
        <w:topLinePunct w:val="0"/>
        <w:bidi w:val="0"/>
        <w:snapToGrid/>
        <w:ind w:left="0" w:firstLine="640" w:firstLineChars="200"/>
        <w:textAlignment w:val="auto"/>
        <w:rPr>
          <w:rFonts w:hint="default" w:ascii="仿宋_GB2312" w:hAnsi="宋体"/>
          <w:color w:val="auto"/>
          <w:sz w:val="32"/>
          <w:szCs w:val="32"/>
          <w:lang w:val="en-US" w:eastAsia="zh-CN"/>
        </w:rPr>
      </w:pPr>
      <w:r>
        <w:rPr>
          <w:rFonts w:hint="default" w:ascii="仿宋_GB2312" w:hAnsi="宋体"/>
          <w:color w:val="auto"/>
          <w:sz w:val="32"/>
          <w:szCs w:val="32"/>
          <w:lang w:val="en-US" w:eastAsia="zh-CN"/>
        </w:rPr>
        <w:t>船闸用水是航运用水的重要组成部分，尤其在渠化河流和设闸运河上，船闸用水量直接影响航道的整体水量平衡。这些计算因素反映了船闸用水量的主要变量：船闸级数和水头决定了单次过闸的耗水量；货运量和过闸次数决定了用水频率；省水措施（如省水船闸设计已被纳入规范）直接影响总用水量；水源条件和生态用水保障要求则是外部约束。要求综合考虑这些因素，是为了使船闸用水量计算既科学合理，又能适应不同工程的实际条件。</w:t>
      </w:r>
    </w:p>
    <w:p w14:paraId="571A29D6">
      <w:pPr>
        <w:keepNext w:val="0"/>
        <w:keepLines w:val="0"/>
        <w:pageBreakBefore w:val="0"/>
        <w:numPr>
          <w:ilvl w:val="0"/>
          <w:numId w:val="0"/>
        </w:numPr>
        <w:kinsoku/>
        <w:overflowPunct/>
        <w:topLinePunct w:val="0"/>
        <w:bidi w:val="0"/>
        <w:snapToGrid/>
        <w:ind w:left="0" w:leftChars="0" w:firstLine="640" w:firstLineChars="200"/>
        <w:textAlignment w:val="auto"/>
        <w:rPr>
          <w:rFonts w:hint="default" w:ascii="仿宋_GB2312" w:hAnsi="宋体" w:cs="Times New Roman"/>
          <w:color w:val="auto"/>
          <w:kern w:val="2"/>
          <w:sz w:val="32"/>
          <w:szCs w:val="32"/>
          <w:lang w:val="en-US" w:eastAsia="zh-CN" w:bidi="ar-SA"/>
        </w:rPr>
      </w:pPr>
      <w:r>
        <w:rPr>
          <w:rFonts w:hint="default" w:ascii="仿宋_GB2312" w:hAnsi="宋体" w:cs="Times New Roman"/>
          <w:color w:val="auto"/>
          <w:kern w:val="2"/>
          <w:sz w:val="32"/>
          <w:szCs w:val="32"/>
          <w:lang w:val="en-US" w:eastAsia="zh-CN" w:bidi="ar-SA"/>
        </w:rPr>
        <w:drawing>
          <wp:inline distT="0" distB="0" distL="0" distR="0">
            <wp:extent cx="5109210" cy="2222500"/>
            <wp:effectExtent l="0" t="0" r="15240" b="635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57822" cy="2243617"/>
                    </a:xfrm>
                    <a:prstGeom prst="rect">
                      <a:avLst/>
                    </a:prstGeom>
                    <a:noFill/>
                    <a:ln>
                      <a:noFill/>
                    </a:ln>
                  </pic:spPr>
                </pic:pic>
              </a:graphicData>
            </a:graphic>
          </wp:inline>
        </w:drawing>
      </w:r>
    </w:p>
    <w:p w14:paraId="21C3E1BE">
      <w:pPr>
        <w:keepNext w:val="0"/>
        <w:keepLines w:val="0"/>
        <w:pageBreakBefore w:val="0"/>
        <w:numPr>
          <w:ilvl w:val="0"/>
          <w:numId w:val="0"/>
        </w:numPr>
        <w:kinsoku/>
        <w:overflowPunct/>
        <w:topLinePunct w:val="0"/>
        <w:bidi w:val="0"/>
        <w:snapToGrid/>
        <w:ind w:left="0" w:leftChars="0" w:firstLine="480" w:firstLineChars="200"/>
        <w:jc w:val="center"/>
        <w:textAlignment w:val="auto"/>
        <w:rPr>
          <w:rFonts w:hint="default" w:ascii="仿宋_GB2312" w:hAnsi="宋体" w:cs="Times New Roman"/>
          <w:color w:val="auto"/>
          <w:kern w:val="2"/>
          <w:sz w:val="24"/>
          <w:szCs w:val="24"/>
          <w:lang w:val="en-US" w:eastAsia="zh-CN" w:bidi="ar-SA"/>
        </w:rPr>
      </w:pPr>
      <w:bookmarkStart w:id="3" w:name="_GoBack"/>
      <w:r>
        <w:rPr>
          <w:rFonts w:hint="default" w:ascii="仿宋_GB2312" w:hAnsi="宋体" w:cs="Times New Roman"/>
          <w:color w:val="auto"/>
          <w:kern w:val="2"/>
          <w:sz w:val="24"/>
          <w:szCs w:val="24"/>
          <w:lang w:val="en-US" w:eastAsia="zh-CN" w:bidi="ar-SA"/>
        </w:rPr>
        <w:t>图</w:t>
      </w:r>
      <w:r>
        <w:rPr>
          <w:rFonts w:hint="eastAsia" w:ascii="仿宋_GB2312" w:hAnsi="宋体" w:cs="Times New Roman"/>
          <w:color w:val="auto"/>
          <w:kern w:val="2"/>
          <w:sz w:val="24"/>
          <w:szCs w:val="24"/>
          <w:lang w:val="en-US" w:eastAsia="zh-CN" w:bidi="ar-SA"/>
        </w:rPr>
        <w:t>1</w:t>
      </w:r>
      <w:r>
        <w:rPr>
          <w:rFonts w:hint="default" w:ascii="仿宋_GB2312" w:hAnsi="宋体" w:cs="Times New Roman"/>
          <w:color w:val="auto"/>
          <w:kern w:val="2"/>
          <w:sz w:val="24"/>
          <w:szCs w:val="24"/>
          <w:lang w:val="en-US" w:eastAsia="zh-CN" w:bidi="ar-SA"/>
        </w:rPr>
        <w:t xml:space="preserve"> 带省水池船闸工作用水工艺图</w:t>
      </w:r>
    </w:p>
    <w:bookmarkEnd w:id="3"/>
    <w:p w14:paraId="44EB1FB8">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olor w:val="auto"/>
          <w:sz w:val="32"/>
          <w:szCs w:val="32"/>
          <w:lang w:val="en-US" w:eastAsia="zh-CN"/>
        </w:rPr>
      </w:pPr>
      <w:r>
        <w:rPr>
          <w:rFonts w:hint="eastAsia" w:ascii="仿宋_GB2312" w:hAnsi="宋体" w:eastAsia="仿宋_GB2312" w:cs="Times New Roman"/>
          <w:color w:val="auto"/>
          <w:kern w:val="2"/>
          <w:sz w:val="32"/>
          <w:szCs w:val="32"/>
          <w:lang w:val="en-US" w:eastAsia="zh-CN" w:bidi="ar-SA"/>
        </w:rPr>
        <w:t>（三）</w:t>
      </w:r>
      <w:r>
        <w:rPr>
          <w:rFonts w:hint="eastAsia" w:ascii="仿宋_GB2312" w:hAnsi="宋体"/>
          <w:color w:val="auto"/>
          <w:sz w:val="32"/>
          <w:szCs w:val="32"/>
          <w:lang w:val="en-US" w:eastAsia="zh-CN"/>
        </w:rPr>
        <w:t>水量保障</w:t>
      </w:r>
    </w:p>
    <w:p w14:paraId="1944D3C4">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3.1通航水位与流量控制</w:t>
      </w:r>
    </w:p>
    <w:p w14:paraId="20D54557">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default" w:ascii="仿宋_GB2312" w:hAnsi="宋体" w:cs="Times New Roman"/>
          <w:color w:val="auto"/>
          <w:kern w:val="2"/>
          <w:sz w:val="32"/>
          <w:szCs w:val="32"/>
          <w:lang w:val="en-US" w:eastAsia="zh-CN" w:bidi="ar-SA"/>
        </w:rPr>
        <w:t>水位和流量是航道用水量保障最基础的控制参数</w:t>
      </w:r>
      <w:r>
        <w:rPr>
          <w:rFonts w:hint="eastAsia" w:ascii="仿宋_GB2312" w:hAnsi="宋体" w:cs="Times New Roman"/>
          <w:color w:val="auto"/>
          <w:kern w:val="2"/>
          <w:sz w:val="32"/>
          <w:szCs w:val="32"/>
          <w:lang w:val="en-US" w:eastAsia="zh-CN" w:bidi="ar-SA"/>
        </w:rPr>
        <w:t>，</w:t>
      </w:r>
      <w:r>
        <w:rPr>
          <w:rFonts w:hint="default" w:ascii="仿宋_GB2312" w:hAnsi="宋体" w:cs="Times New Roman"/>
          <w:color w:val="auto"/>
          <w:kern w:val="2"/>
          <w:sz w:val="32"/>
          <w:szCs w:val="32"/>
          <w:lang w:val="en-US" w:eastAsia="zh-CN" w:bidi="ar-SA"/>
        </w:rPr>
        <w:t>在控制断面设置符合规范的监测设施，确保获取的水文数据准确、可靠、可比，为通航水位预警、水量调度决策和航道养护提供科学的数据支撑。《中华人民共和国航道法》规定</w:t>
      </w:r>
      <w:r>
        <w:rPr>
          <w:rFonts w:hint="eastAsia" w:ascii="仿宋_GB2312" w:hAnsi="宋体" w:cs="Times New Roman"/>
          <w:color w:val="auto"/>
          <w:kern w:val="2"/>
          <w:sz w:val="32"/>
          <w:szCs w:val="32"/>
          <w:lang w:val="en-US" w:eastAsia="zh-CN" w:bidi="ar-SA"/>
        </w:rPr>
        <w:t>，</w:t>
      </w:r>
      <w:r>
        <w:rPr>
          <w:rFonts w:hint="default" w:ascii="仿宋_GB2312" w:hAnsi="宋体" w:cs="Times New Roman"/>
          <w:color w:val="auto"/>
          <w:kern w:val="2"/>
          <w:sz w:val="32"/>
          <w:szCs w:val="32"/>
          <w:lang w:val="en-US" w:eastAsia="zh-CN" w:bidi="ar-SA"/>
        </w:rPr>
        <w:t>位于航道及其上游支流上的水工程，应当在设计、施工和调度运行中统筹考虑下游航道设计最低通航水位所需的下泄流量</w:t>
      </w:r>
      <w:r>
        <w:rPr>
          <w:rFonts w:hint="eastAsia" w:ascii="仿宋_GB2312" w:hAnsi="宋体" w:cs="Times New Roman"/>
          <w:color w:val="auto"/>
          <w:kern w:val="2"/>
          <w:sz w:val="32"/>
          <w:szCs w:val="32"/>
          <w:lang w:val="en-US" w:eastAsia="zh-CN" w:bidi="ar-SA"/>
        </w:rPr>
        <w:t>。同时，设计最低通航水位是航道尺度设计的起算基准，低于此水位航道无法维持设计水深；最小通航流量是维持该水位所需的河道内流量；下游生态流量或最小下泄流量则是法律规定的不可突破的红线。三者共同构成了航道用水保障的“三道防线”。</w:t>
      </w:r>
    </w:p>
    <w:p w14:paraId="671406DC">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3.2枯水期保障</w:t>
      </w:r>
    </w:p>
    <w:p w14:paraId="2FCA76BC">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default" w:ascii="仿宋_GB2312" w:hAnsi="宋体" w:cs="Times New Roman"/>
          <w:color w:val="auto"/>
          <w:kern w:val="2"/>
          <w:sz w:val="32"/>
          <w:szCs w:val="32"/>
          <w:lang w:val="en-US" w:eastAsia="zh-CN" w:bidi="ar-SA"/>
        </w:rPr>
        <w:t>枯水期是航道用水最紧张、矛盾最突出的时期。来水预报为有限水资源的提前配置提供了科学依据</w:t>
      </w:r>
      <w:r>
        <w:rPr>
          <w:rFonts w:hint="eastAsia" w:ascii="仿宋_GB2312" w:hAnsi="宋体" w:cs="Times New Roman"/>
          <w:color w:val="auto"/>
          <w:kern w:val="2"/>
          <w:sz w:val="32"/>
          <w:szCs w:val="32"/>
          <w:lang w:val="en-US" w:eastAsia="zh-CN" w:bidi="ar-SA"/>
        </w:rPr>
        <w:t>，</w:t>
      </w:r>
      <w:r>
        <w:rPr>
          <w:rFonts w:hint="default" w:ascii="仿宋_GB2312" w:hAnsi="宋体" w:cs="Times New Roman"/>
          <w:color w:val="auto"/>
          <w:kern w:val="2"/>
          <w:sz w:val="32"/>
          <w:szCs w:val="32"/>
          <w:lang w:val="en-US" w:eastAsia="zh-CN" w:bidi="ar-SA"/>
        </w:rPr>
        <w:t>在枯水期前编制用水计划，变被动为主动，将有限的水资源在时间上进行合理分配，避免因临时调度导致水量不足或分配失衡。优先利用水库蓄水调度保障的依据《水资源调度管理办法》关于“区域水资源调度应当服从流域水资源统一调度”的原则；多水源联合保障机制的依据水资源统一调度管理的基本要求；用水量压减方案则依据水资源调度中“调度预警”和应急管理的要求</w:t>
      </w:r>
      <w:r>
        <w:rPr>
          <w:rFonts w:hint="eastAsia" w:ascii="仿宋_GB2312" w:hAnsi="宋体" w:cs="Times New Roman"/>
          <w:color w:val="auto"/>
          <w:kern w:val="2"/>
          <w:sz w:val="32"/>
          <w:szCs w:val="32"/>
          <w:lang w:val="en-US" w:eastAsia="zh-CN" w:bidi="ar-SA"/>
        </w:rPr>
        <w:t>。</w:t>
      </w:r>
    </w:p>
    <w:p w14:paraId="5F89D897">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3.3航道养护</w:t>
      </w:r>
    </w:p>
    <w:p w14:paraId="294B554A">
      <w:pPr>
        <w:keepNext w:val="0"/>
        <w:keepLines w:val="0"/>
        <w:pageBreakBefore w:val="0"/>
        <w:numPr>
          <w:ilvl w:val="0"/>
          <w:numId w:val="0"/>
        </w:numPr>
        <w:kinsoku/>
        <w:overflowPunct/>
        <w:topLinePunct w:val="0"/>
        <w:bidi w:val="0"/>
        <w:snapToGrid/>
        <w:ind w:left="0" w:leftChars="0" w:firstLine="640" w:firstLineChars="200"/>
        <w:textAlignment w:val="auto"/>
        <w:rPr>
          <w:rFonts w:hint="default" w:ascii="仿宋_GB2312" w:hAnsi="宋体" w:cs="Times New Roman"/>
          <w:color w:val="auto"/>
          <w:kern w:val="2"/>
          <w:sz w:val="32"/>
          <w:szCs w:val="32"/>
          <w:lang w:val="en-US" w:eastAsia="zh-CN" w:bidi="ar-SA"/>
        </w:rPr>
      </w:pPr>
      <w:r>
        <w:rPr>
          <w:rFonts w:hint="default" w:ascii="仿宋_GB2312" w:hAnsi="宋体" w:cs="Times New Roman"/>
          <w:color w:val="auto"/>
          <w:kern w:val="2"/>
          <w:sz w:val="32"/>
          <w:szCs w:val="32"/>
          <w:lang w:val="en-US" w:eastAsia="zh-CN" w:bidi="ar-SA"/>
        </w:rPr>
        <w:t>JTS/T 320是航道养护的专项技术规范，统一规定了航道养护的技术要求。按此规范执行养护，在水量有保障的前提下，航道本身的物理条件也能同步满足通航需要。</w:t>
      </w:r>
    </w:p>
    <w:p w14:paraId="346DE2EA">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olor w:val="auto"/>
          <w:sz w:val="32"/>
          <w:szCs w:val="32"/>
          <w:lang w:val="en-US" w:eastAsia="zh-CN"/>
        </w:rPr>
      </w:pPr>
      <w:r>
        <w:rPr>
          <w:rFonts w:hint="eastAsia" w:ascii="仿宋_GB2312" w:hAnsi="宋体" w:eastAsia="仿宋_GB2312" w:cs="Times New Roman"/>
          <w:color w:val="auto"/>
          <w:kern w:val="2"/>
          <w:sz w:val="32"/>
          <w:szCs w:val="32"/>
          <w:lang w:val="en-US" w:eastAsia="zh-CN" w:bidi="ar-SA"/>
        </w:rPr>
        <w:t>（四）</w:t>
      </w:r>
      <w:r>
        <w:rPr>
          <w:rFonts w:hint="eastAsia" w:ascii="仿宋_GB2312" w:hAnsi="宋体"/>
          <w:color w:val="auto"/>
          <w:sz w:val="32"/>
          <w:szCs w:val="32"/>
          <w:lang w:val="en-US" w:eastAsia="zh-CN"/>
        </w:rPr>
        <w:t>水量调度</w:t>
      </w:r>
    </w:p>
    <w:p w14:paraId="6A53901E">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4.1一般规定</w:t>
      </w:r>
    </w:p>
    <w:p w14:paraId="61B5BB8E">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default" w:ascii="仿宋_GB2312" w:hAnsi="宋体" w:cs="Times New Roman"/>
          <w:color w:val="auto"/>
          <w:kern w:val="2"/>
          <w:sz w:val="32"/>
          <w:szCs w:val="32"/>
          <w:lang w:val="en-US" w:eastAsia="zh-CN" w:bidi="ar-SA"/>
        </w:rPr>
        <w:t>水资源的开发利用必须以流域为单元进行统一管理。依据《中华人民共和国水法》，调蓄径流和分配水量应当依据流域规划和水中长期供求规划，以流域为单元制定水量分配方案</w:t>
      </w:r>
      <w:r>
        <w:rPr>
          <w:rFonts w:hint="eastAsia" w:ascii="仿宋_GB2312" w:hAnsi="宋体" w:cs="Times New Roman"/>
          <w:color w:val="auto"/>
          <w:kern w:val="2"/>
          <w:sz w:val="32"/>
          <w:szCs w:val="32"/>
          <w:lang w:val="en-US" w:eastAsia="zh-CN" w:bidi="ar-SA"/>
        </w:rPr>
        <w:t>。水量调度涉及防洪、供水、发电、航运、生态等多目标统筹，明确起止日期确保调度有始有终，水位、流量等控制要素使调度目标可量化；管理职责避免多头指挥、权责不清；预警机制则为应对异常情况预留响应时间。跨流域调水改变了天然水资源分布格局，调出区及其下游可能因水量减少而面临生态退化和用水紧张。《水资源调度管理办法》明确规定，跨流域调水应统筹调入区需求和调出区可调水量，并服从相关江河流域水资源调度方案。</w:t>
      </w:r>
    </w:p>
    <w:p w14:paraId="15D1DEAD">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4.2水库调度</w:t>
      </w:r>
    </w:p>
    <w:p w14:paraId="3F2A18C0">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default" w:ascii="仿宋_GB2312" w:hAnsi="宋体" w:cs="Times New Roman"/>
          <w:color w:val="auto"/>
          <w:kern w:val="2"/>
          <w:sz w:val="32"/>
          <w:szCs w:val="32"/>
          <w:lang w:val="en-US" w:eastAsia="zh-CN" w:bidi="ar-SA"/>
        </w:rPr>
        <w:t>防洪安全是水库调度的首要前提</w:t>
      </w:r>
      <w:r>
        <w:rPr>
          <w:rFonts w:hint="eastAsia" w:ascii="仿宋_GB2312" w:hAnsi="宋体" w:cs="Times New Roman"/>
          <w:color w:val="auto"/>
          <w:kern w:val="2"/>
          <w:sz w:val="32"/>
          <w:szCs w:val="32"/>
          <w:lang w:val="en-US" w:eastAsia="zh-CN" w:bidi="ar-SA"/>
        </w:rPr>
        <w:t>，</w:t>
      </w:r>
      <w:r>
        <w:rPr>
          <w:rFonts w:hint="default" w:ascii="仿宋_GB2312" w:hAnsi="宋体" w:cs="Times New Roman"/>
          <w:color w:val="auto"/>
          <w:kern w:val="2"/>
          <w:sz w:val="32"/>
          <w:szCs w:val="32"/>
          <w:lang w:val="en-US" w:eastAsia="zh-CN" w:bidi="ar-SA"/>
        </w:rPr>
        <w:t>在此前提下兼顾航运需求，体现了“安全第一、统筹兼顾”的原则。通航需要特定的水位和流量条件，通过合理控制下泄过程可以实现防洪与航运的协调</w:t>
      </w:r>
      <w:r>
        <w:rPr>
          <w:rFonts w:hint="eastAsia" w:ascii="仿宋_GB2312" w:hAnsi="宋体" w:cs="Times New Roman"/>
          <w:color w:val="auto"/>
          <w:kern w:val="2"/>
          <w:sz w:val="32"/>
          <w:szCs w:val="32"/>
          <w:lang w:val="en-US" w:eastAsia="zh-CN" w:bidi="ar-SA"/>
        </w:rPr>
        <w:t>。生态基流是维持河流生态系统健康的最小流量，是不可逾越的底线。航运作为河道内生产用水，应在保障生态用水之后统筹安排。GB/T 50587《水库调度设计规范》统一了水库调度设计的原则、基本内容和要求，因此引用该标准保障水库调度设计的规范性和科学性。而发电调度往往追求持续稳定出力，而航运需要集中放水。在来水较丰时蓄水，可在枯水期集中释放以满足通航需求。这一规定在不损害防洪和电网安全的前提下，为航运争取了调度空间。</w:t>
      </w:r>
    </w:p>
    <w:p w14:paraId="2E7E8576">
      <w:pPr>
        <w:ind w:left="-960" w:leftChars="-300" w:firstLine="560"/>
        <w:jc w:val="center"/>
        <w:rPr>
          <w:rFonts w:cs="Times New Roman"/>
        </w:rPr>
      </w:pPr>
      <w:r>
        <w:rPr>
          <w:rFonts w:cs="Times New Roman"/>
        </w:rPr>
        <w:drawing>
          <wp:inline distT="0" distB="0" distL="0" distR="0">
            <wp:extent cx="4319905" cy="2493010"/>
            <wp:effectExtent l="0" t="0" r="4445" b="254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8"/>
                    <a:srcRect l="1941" t="259" r="13057" b="1853"/>
                    <a:stretch>
                      <a:fillRect/>
                    </a:stretch>
                  </pic:blipFill>
                  <pic:spPr>
                    <a:xfrm>
                      <a:off x="0" y="0"/>
                      <a:ext cx="4319905" cy="2493010"/>
                    </a:xfrm>
                    <a:prstGeom prst="rect">
                      <a:avLst/>
                    </a:prstGeom>
                    <a:ln>
                      <a:noFill/>
                    </a:ln>
                  </pic:spPr>
                </pic:pic>
              </a:graphicData>
            </a:graphic>
          </wp:inline>
        </w:drawing>
      </w:r>
    </w:p>
    <w:p w14:paraId="09B253AD">
      <w:pPr>
        <w:pStyle w:val="36"/>
        <w:spacing w:line="360" w:lineRule="auto"/>
        <w:rPr>
          <w:rFonts w:hint="default" w:ascii="仿宋_GB2312" w:hAnsi="宋体" w:eastAsia="仿宋_GB2312" w:cs="Times New Roman"/>
          <w:color w:val="auto"/>
          <w:kern w:val="2"/>
          <w:sz w:val="24"/>
          <w:szCs w:val="24"/>
          <w:lang w:val="en-US" w:eastAsia="zh-CN" w:bidi="ar-SA"/>
        </w:rPr>
      </w:pPr>
      <w:r>
        <w:rPr>
          <w:rFonts w:hint="default" w:ascii="仿宋_GB2312" w:hAnsi="宋体" w:eastAsia="仿宋_GB2312" w:cs="Times New Roman"/>
          <w:color w:val="auto"/>
          <w:kern w:val="2"/>
          <w:sz w:val="24"/>
          <w:szCs w:val="24"/>
          <w:lang w:val="en-US" w:eastAsia="zh-CN" w:bidi="ar-SA"/>
        </w:rPr>
        <w:t>图</w:t>
      </w:r>
      <w:r>
        <w:rPr>
          <w:rFonts w:hint="eastAsia" w:ascii="仿宋_GB2312" w:hAnsi="宋体" w:eastAsia="仿宋_GB2312" w:cs="Times New Roman"/>
          <w:color w:val="auto"/>
          <w:kern w:val="2"/>
          <w:sz w:val="24"/>
          <w:szCs w:val="24"/>
          <w:lang w:val="en-US" w:eastAsia="zh-CN" w:bidi="ar-SA"/>
        </w:rPr>
        <w:t>2</w:t>
      </w:r>
      <w:r>
        <w:rPr>
          <w:rFonts w:hint="default" w:ascii="仿宋_GB2312" w:hAnsi="宋体" w:eastAsia="仿宋_GB2312" w:cs="Times New Roman"/>
          <w:color w:val="auto"/>
          <w:kern w:val="2"/>
          <w:sz w:val="24"/>
          <w:szCs w:val="24"/>
          <w:lang w:val="en-US" w:eastAsia="zh-CN" w:bidi="ar-SA"/>
        </w:rPr>
        <w:t xml:space="preserve"> </w:t>
      </w:r>
      <w:r>
        <w:rPr>
          <w:rFonts w:hint="eastAsia" w:ascii="仿宋_GB2312" w:hAnsi="宋体" w:eastAsia="仿宋_GB2312" w:cs="Times New Roman"/>
          <w:color w:val="auto"/>
          <w:kern w:val="2"/>
          <w:sz w:val="24"/>
          <w:szCs w:val="24"/>
          <w:lang w:val="en-US" w:eastAsia="zh-CN" w:bidi="ar-SA"/>
        </w:rPr>
        <w:t>实施动态调度</w:t>
      </w:r>
      <w:r>
        <w:rPr>
          <w:rFonts w:hint="default" w:ascii="仿宋_GB2312" w:hAnsi="宋体" w:eastAsia="仿宋_GB2312" w:cs="Times New Roman"/>
          <w:color w:val="auto"/>
          <w:kern w:val="2"/>
          <w:sz w:val="24"/>
          <w:szCs w:val="24"/>
          <w:lang w:val="en-US" w:eastAsia="zh-CN" w:bidi="ar-SA"/>
        </w:rPr>
        <w:t>后水库调度结果图</w:t>
      </w:r>
    </w:p>
    <w:p w14:paraId="0793F50A">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default" w:ascii="仿宋_GB2312" w:hAnsi="宋体" w:cs="Times New Roman"/>
          <w:color w:val="auto"/>
          <w:kern w:val="2"/>
          <w:sz w:val="32"/>
          <w:szCs w:val="32"/>
          <w:lang w:val="en-US" w:eastAsia="zh-CN" w:bidi="ar-SA"/>
        </w:rPr>
        <w:t>单一水库调度难以解决流域整体通航问题。通过多个水库的联合调度，可以延长特定流量级持续时间，降低航道日常维护难度</w:t>
      </w:r>
      <w:r>
        <w:rPr>
          <w:rFonts w:hint="eastAsia" w:ascii="仿宋_GB2312" w:hAnsi="宋体" w:cs="Times New Roman"/>
          <w:color w:val="auto"/>
          <w:kern w:val="2"/>
          <w:sz w:val="32"/>
          <w:szCs w:val="32"/>
          <w:lang w:val="en-US" w:eastAsia="zh-CN" w:bidi="ar-SA"/>
        </w:rPr>
        <w:t>。但是不同水库的调节库容、地理位置和工程任务各异，水源水库承担主要供水任务；反调节水库位于取水口附近，负责水量时程分配，辅助水库配合调度，明确分工可提高调度效率和针对性。联合调度涉及多个水库和复杂的水力联系，凭经验难以精确把握效果。可以通过数学模型模拟，预判调度方案的实际效果，定期评估可检验各水库角色分工是否合理、蓄水方案执行是否到位、调度响应是否及时。</w:t>
      </w:r>
    </w:p>
    <w:p w14:paraId="37495312">
      <w:pPr>
        <w:ind w:firstLine="0" w:firstLineChars="0"/>
        <w:jc w:val="center"/>
        <w:rPr>
          <w:rFonts w:cs="Times New Roman"/>
        </w:rPr>
      </w:pPr>
      <w:r>
        <w:rPr>
          <w:rFonts w:cs="Times New Roman"/>
        </w:rPr>
        <w:drawing>
          <wp:inline distT="0" distB="0" distL="0" distR="0">
            <wp:extent cx="3599815" cy="1576705"/>
            <wp:effectExtent l="0" t="0" r="635"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9" cstate="print">
                      <a:extLst>
                        <a:ext uri="{28A0092B-C50C-407E-A947-70E740481C1C}">
                          <a14:useLocalDpi xmlns:a14="http://schemas.microsoft.com/office/drawing/2010/main" val="0"/>
                        </a:ext>
                      </a:extLst>
                    </a:blip>
                    <a:srcRect l="13790" t="4900" r="11995" b="6284"/>
                    <a:stretch>
                      <a:fillRect/>
                    </a:stretch>
                  </pic:blipFill>
                  <pic:spPr>
                    <a:xfrm>
                      <a:off x="0" y="0"/>
                      <a:ext cx="3599815" cy="1576705"/>
                    </a:xfrm>
                    <a:prstGeom prst="rect">
                      <a:avLst/>
                    </a:prstGeom>
                    <a:ln>
                      <a:noFill/>
                    </a:ln>
                  </pic:spPr>
                </pic:pic>
              </a:graphicData>
            </a:graphic>
          </wp:inline>
        </w:drawing>
      </w:r>
    </w:p>
    <w:p w14:paraId="28AE730B">
      <w:pPr>
        <w:pStyle w:val="36"/>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图</w:t>
      </w:r>
      <w:r>
        <w:rPr>
          <w:rFonts w:hint="eastAsia" w:ascii="仿宋_GB2312" w:hAnsi="宋体" w:cs="Times New Roman"/>
          <w:color w:val="auto"/>
          <w:kern w:val="2"/>
          <w:sz w:val="24"/>
          <w:szCs w:val="24"/>
          <w:lang w:val="en-US" w:eastAsia="zh-CN" w:bidi="ar-SA"/>
        </w:rPr>
        <w:t>3</w:t>
      </w:r>
      <w:r>
        <w:rPr>
          <w:rFonts w:hint="eastAsia" w:ascii="仿宋_GB2312" w:hAnsi="宋体" w:eastAsia="仿宋_GB2312" w:cs="Times New Roman"/>
          <w:color w:val="auto"/>
          <w:kern w:val="2"/>
          <w:sz w:val="24"/>
          <w:szCs w:val="24"/>
          <w:lang w:val="en-US" w:eastAsia="zh-CN" w:bidi="ar-SA"/>
        </w:rPr>
        <w:t xml:space="preserve">  用水调度模型概化图</w:t>
      </w:r>
    </w:p>
    <w:p w14:paraId="4250B67E">
      <w:pPr>
        <w:pStyle w:val="36"/>
        <w:rPr>
          <w:rFonts w:hint="eastAsia"/>
          <w:lang w:val="en-US" w:eastAsia="zh-CN"/>
        </w:rPr>
      </w:pPr>
    </w:p>
    <w:p w14:paraId="1FC87FEF">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4.3调度指令</w:t>
      </w:r>
    </w:p>
    <w:p w14:paraId="6F49EF40">
      <w:pPr>
        <w:keepNext w:val="0"/>
        <w:keepLines w:val="0"/>
        <w:pageBreakBefore w:val="0"/>
        <w:numPr>
          <w:ilvl w:val="0"/>
          <w:numId w:val="0"/>
        </w:numPr>
        <w:kinsoku/>
        <w:overflowPunct/>
        <w:topLinePunct w:val="0"/>
        <w:bidi w:val="0"/>
        <w:snapToGrid/>
        <w:ind w:left="0" w:leftChars="0" w:firstLine="640" w:firstLineChars="200"/>
        <w:textAlignment w:val="auto"/>
        <w:rPr>
          <w:rFonts w:hint="default" w:ascii="仿宋_GB2312" w:hAnsi="宋体" w:cs="Times New Roman"/>
          <w:color w:val="auto"/>
          <w:kern w:val="2"/>
          <w:sz w:val="32"/>
          <w:szCs w:val="32"/>
          <w:lang w:val="en-US" w:eastAsia="zh-CN" w:bidi="ar-SA"/>
        </w:rPr>
      </w:pPr>
      <w:r>
        <w:rPr>
          <w:rFonts w:hint="default" w:ascii="仿宋_GB2312" w:hAnsi="宋体" w:cs="Times New Roman"/>
          <w:color w:val="auto"/>
          <w:kern w:val="2"/>
          <w:sz w:val="32"/>
          <w:szCs w:val="32"/>
          <w:lang w:val="en-US" w:eastAsia="zh-CN" w:bidi="ar-SA"/>
        </w:rPr>
        <w:t>调度指令是调度决策的具体执行载体，</w:t>
      </w:r>
      <w:r>
        <w:rPr>
          <w:rFonts w:hint="eastAsia" w:ascii="仿宋_GB2312" w:hAnsi="宋体" w:cs="Times New Roman"/>
          <w:color w:val="auto"/>
          <w:kern w:val="2"/>
          <w:sz w:val="32"/>
          <w:szCs w:val="32"/>
          <w:lang w:val="en-US" w:eastAsia="zh-CN" w:bidi="ar-SA"/>
        </w:rPr>
        <w:t>需要</w:t>
      </w:r>
      <w:r>
        <w:rPr>
          <w:rFonts w:hint="default" w:ascii="仿宋_GB2312" w:hAnsi="宋体" w:cs="Times New Roman"/>
          <w:color w:val="auto"/>
          <w:kern w:val="2"/>
          <w:sz w:val="32"/>
          <w:szCs w:val="32"/>
          <w:lang w:val="en-US" w:eastAsia="zh-CN" w:bidi="ar-SA"/>
        </w:rPr>
        <w:t>内容完整、要素齐全</w:t>
      </w:r>
      <w:r>
        <w:rPr>
          <w:rFonts w:hint="eastAsia" w:ascii="仿宋_GB2312" w:hAnsi="宋体" w:cs="Times New Roman"/>
          <w:color w:val="auto"/>
          <w:kern w:val="2"/>
          <w:sz w:val="32"/>
          <w:szCs w:val="32"/>
          <w:lang w:val="en-US" w:eastAsia="zh-CN" w:bidi="ar-SA"/>
        </w:rPr>
        <w:t>。调度记录是调度工作的历史档案，也是事后评估和责任追溯的依据。记录断面流量水位变化可验证调度效果，为后续方案优化提供数据支撑。</w:t>
      </w:r>
    </w:p>
    <w:p w14:paraId="5E72F134">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olor w:val="auto"/>
          <w:sz w:val="32"/>
          <w:szCs w:val="32"/>
          <w:lang w:val="en-US" w:eastAsia="zh-CN"/>
        </w:rPr>
      </w:pPr>
      <w:r>
        <w:rPr>
          <w:rFonts w:hint="eastAsia" w:ascii="仿宋_GB2312" w:hAnsi="宋体" w:eastAsia="仿宋_GB2312" w:cs="Times New Roman"/>
          <w:color w:val="auto"/>
          <w:kern w:val="2"/>
          <w:sz w:val="32"/>
          <w:szCs w:val="32"/>
          <w:lang w:val="en-US" w:eastAsia="zh-CN" w:bidi="ar-SA"/>
        </w:rPr>
        <w:t>（五）</w:t>
      </w:r>
      <w:r>
        <w:rPr>
          <w:rFonts w:hint="eastAsia" w:ascii="仿宋_GB2312" w:hAnsi="宋体"/>
          <w:color w:val="auto"/>
          <w:sz w:val="32"/>
          <w:szCs w:val="32"/>
          <w:lang w:val="en-US" w:eastAsia="zh-CN"/>
        </w:rPr>
        <w:t>监测与预警</w:t>
      </w:r>
    </w:p>
    <w:p w14:paraId="27EB5EA0">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5.1监测</w:t>
      </w:r>
    </w:p>
    <w:p w14:paraId="3FF7C3F5">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建立航道用水监测网络是为水量调度决策提供基础数据支撑的必要手段。监测频次根据航道等级和不同时期的水情变化特征进行动态调整，通航期逐日监测，枯水关键期加密监测，这种安排有助于在高风险时期及时捕捉水位和流量的异常变化。监测数据的质量控制与原始记录保留，是保障数据真实性和可追溯性的基本要求，能够防止因数据失真导致调度决策失误。监测数据的按规定报送，则用于打通数据采集端与决策调度端之间的信息通道，使相关信息能够有效转化为实际的保障行动。</w:t>
      </w:r>
    </w:p>
    <w:p w14:paraId="3F799248">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5.2预警</w:t>
      </w:r>
    </w:p>
    <w:p w14:paraId="552F5145">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 xml:space="preserve"> 预警机制的核心作用在于将水量保障从事后补救转变为事前预防。预警启动条件覆盖预报水位不足、实测流量过低、枯水期来水预报不足及设施运行故障四类典型情境，分别对应预报风险、实时风险、远期风险和突发风险，能够确保在不同类型的通航威胁出现时及时触发响应。预警内容要求明确级别、范围、持续时间和调度建议，是为接收方提供可操作的信息基础；预警信息及时送达调度单位、航运管理部门和取用水户，是为形成预警到响应的完整闭环。建立信息化管理平台，则是从技术层面实现数据实时汇聚、风险智能研判和调度信息高效共享，解决多主体协调效率低下的问题，将水量保障提升到现代化管控水平。</w:t>
      </w:r>
    </w:p>
    <w:p w14:paraId="1CC1CD09">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olor w:val="auto"/>
          <w:sz w:val="32"/>
          <w:szCs w:val="32"/>
          <w:lang w:val="en-US" w:eastAsia="zh-CN"/>
        </w:rPr>
      </w:pPr>
      <w:r>
        <w:rPr>
          <w:rFonts w:hint="eastAsia" w:ascii="仿宋_GB2312" w:hAnsi="宋体" w:eastAsia="仿宋_GB2312" w:cs="Times New Roman"/>
          <w:color w:val="auto"/>
          <w:kern w:val="2"/>
          <w:sz w:val="32"/>
          <w:szCs w:val="32"/>
          <w:lang w:val="en-US" w:eastAsia="zh-CN" w:bidi="ar-SA"/>
        </w:rPr>
        <w:t>（六）</w:t>
      </w:r>
      <w:r>
        <w:rPr>
          <w:rFonts w:hint="eastAsia" w:ascii="仿宋_GB2312" w:hAnsi="宋体"/>
          <w:color w:val="auto"/>
          <w:sz w:val="32"/>
          <w:szCs w:val="32"/>
          <w:lang w:val="en-US" w:eastAsia="zh-CN"/>
        </w:rPr>
        <w:t>应急管理</w:t>
      </w:r>
    </w:p>
    <w:p w14:paraId="07344B4F">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6.1</w:t>
      </w:r>
      <w:r>
        <w:rPr>
          <w:rFonts w:hint="eastAsia" w:ascii="仿宋_GB2312" w:hAnsi="宋体" w:eastAsia="仿宋_GB2312" w:cs="Times New Roman"/>
          <w:color w:val="auto"/>
          <w:kern w:val="2"/>
          <w:sz w:val="32"/>
          <w:szCs w:val="32"/>
          <w:lang w:val="en-US" w:eastAsia="zh-CN" w:bidi="ar-SA"/>
        </w:rPr>
        <w:t>应急保障</w:t>
      </w:r>
    </w:p>
    <w:p w14:paraId="7B1B5A5B">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建立健全联合调度协议与信息通报制度，构建权责明确的应急组织体系，组建包含水文监测、疏浚和工程抢修在内的专业应急队伍，储备并定期更新应急物资装备，同时将应急响应的启动与终止条件及程序在应急预案中予以明确，为应急处置提供组织、人员和物资基础。</w:t>
      </w:r>
    </w:p>
    <w:p w14:paraId="389E1B87">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6.2</w:t>
      </w:r>
      <w:r>
        <w:rPr>
          <w:rFonts w:hint="eastAsia" w:ascii="仿宋_GB2312" w:hAnsi="宋体" w:eastAsia="仿宋_GB2312" w:cs="Times New Roman"/>
          <w:color w:val="auto"/>
          <w:kern w:val="2"/>
          <w:sz w:val="32"/>
          <w:szCs w:val="32"/>
          <w:lang w:val="en-US" w:eastAsia="zh-CN" w:bidi="ar-SA"/>
        </w:rPr>
        <w:t>应急处置</w:t>
      </w:r>
    </w:p>
    <w:p w14:paraId="7E07779A">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根据航道缺水程度分别采取航行管制、流域水库联合调度加大下泄、就近水库动态补水并同步监测调整、协调各行业压减用水、启用备用水源并评估其对工程功能的影响及制定恢复方案，以及发生工程事故时立即报告并组织抢修等措施，以多途径保障通航所需的最低流量与水位。</w:t>
      </w:r>
    </w:p>
    <w:p w14:paraId="1B731A32">
      <w:pPr>
        <w:pStyle w:val="36"/>
      </w:pPr>
      <w:r>
        <w:drawing>
          <wp:inline distT="0" distB="0" distL="0" distR="0">
            <wp:extent cx="4565650" cy="2766695"/>
            <wp:effectExtent l="0" t="0" r="6350" b="1460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0">
                      <a:extLst>
                        <a:ext uri="{28A0092B-C50C-407E-A947-70E740481C1C}">
                          <a14:useLocalDpi xmlns:a14="http://schemas.microsoft.com/office/drawing/2010/main" val="0"/>
                        </a:ext>
                      </a:extLst>
                    </a:blip>
                    <a:srcRect l="3462" t="3382" r="4433" b="5771"/>
                    <a:stretch>
                      <a:fillRect/>
                    </a:stretch>
                  </pic:blipFill>
                  <pic:spPr>
                    <a:xfrm>
                      <a:off x="0" y="0"/>
                      <a:ext cx="4584436" cy="2778238"/>
                    </a:xfrm>
                    <a:prstGeom prst="rect">
                      <a:avLst/>
                    </a:prstGeom>
                    <a:noFill/>
                    <a:ln>
                      <a:noFill/>
                    </a:ln>
                  </pic:spPr>
                </pic:pic>
              </a:graphicData>
            </a:graphic>
          </wp:inline>
        </w:drawing>
      </w:r>
    </w:p>
    <w:p w14:paraId="29C0B3AD">
      <w:pPr>
        <w:pStyle w:val="36"/>
        <w:ind w:firstLine="56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图4实施动态调度前后年缺水量图</w:t>
      </w:r>
    </w:p>
    <w:p w14:paraId="5CEBF1AA">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6.3</w:t>
      </w:r>
      <w:r>
        <w:rPr>
          <w:rFonts w:hint="eastAsia" w:ascii="仿宋_GB2312" w:hAnsi="宋体" w:eastAsia="仿宋_GB2312" w:cs="Times New Roman"/>
          <w:color w:val="auto"/>
          <w:kern w:val="2"/>
          <w:sz w:val="32"/>
          <w:szCs w:val="32"/>
          <w:lang w:val="en-US" w:eastAsia="zh-CN" w:bidi="ar-SA"/>
        </w:rPr>
        <w:t>应急演练</w:t>
      </w:r>
    </w:p>
    <w:p w14:paraId="196CB758">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要求编制用水量保障应急预案并定期组织演练，演练场景须覆盖枯水保通航和设施抢修等典型情形，演练后形成评估报告指出问题与改进方向，同时对调度人员开展涵盖调度规则、控制指标及监测预警等内容的岗位培训，通过演练与培训持续提升应急响应水平。</w:t>
      </w:r>
    </w:p>
    <w:p w14:paraId="2C445DA9">
      <w:pPr>
        <w:keepNext w:val="0"/>
        <w:keepLines w:val="0"/>
        <w:pageBreakBefore w:val="0"/>
        <w:numPr>
          <w:ilvl w:val="0"/>
          <w:numId w:val="0"/>
        </w:numPr>
        <w:kinsoku/>
        <w:overflowPunct/>
        <w:topLinePunct w:val="0"/>
        <w:bidi w:val="0"/>
        <w:snapToGrid/>
        <w:ind w:left="0" w:leftChars="0" w:firstLine="640" w:firstLineChars="200"/>
        <w:textAlignment w:val="auto"/>
        <w:rPr>
          <w:rFonts w:hint="eastAsia" w:ascii="仿宋_GB2312" w:hAnsi="宋体"/>
          <w:color w:val="auto"/>
          <w:sz w:val="32"/>
          <w:szCs w:val="32"/>
          <w:lang w:val="en-US" w:eastAsia="zh-CN"/>
        </w:rPr>
      </w:pPr>
      <w:r>
        <w:rPr>
          <w:rFonts w:hint="eastAsia" w:ascii="仿宋_GB2312" w:hAnsi="宋体" w:eastAsia="仿宋_GB2312" w:cs="Times New Roman"/>
          <w:color w:val="auto"/>
          <w:kern w:val="2"/>
          <w:sz w:val="32"/>
          <w:szCs w:val="32"/>
          <w:lang w:val="en-US" w:eastAsia="zh-CN" w:bidi="ar-SA"/>
        </w:rPr>
        <w:t>（七）</w:t>
      </w:r>
      <w:r>
        <w:rPr>
          <w:rFonts w:hint="eastAsia" w:ascii="仿宋_GB2312" w:hAnsi="宋体"/>
          <w:color w:val="auto"/>
          <w:sz w:val="32"/>
          <w:szCs w:val="32"/>
          <w:lang w:val="en-US" w:eastAsia="zh-CN"/>
        </w:rPr>
        <w:t>评估与改进的要求</w:t>
      </w:r>
    </w:p>
    <w:p w14:paraId="38CDE6EE">
      <w:pPr>
        <w:keepNext w:val="0"/>
        <w:keepLines w:val="0"/>
        <w:pageBreakBefore w:val="0"/>
        <w:numPr>
          <w:ilvl w:val="0"/>
          <w:numId w:val="0"/>
        </w:numPr>
        <w:kinsoku/>
        <w:overflowPunct/>
        <w:topLinePunct w:val="0"/>
        <w:bidi w:val="0"/>
        <w:snapToGrid/>
        <w:ind w:left="0" w:leftChars="0" w:firstLine="640" w:firstLineChars="20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宋体" w:cs="Times New Roman"/>
          <w:color w:val="auto"/>
          <w:kern w:val="2"/>
          <w:sz w:val="32"/>
          <w:szCs w:val="32"/>
          <w:lang w:val="en-US" w:eastAsia="zh-CN" w:bidi="ar-SA"/>
        </w:rPr>
        <w:t>主要</w:t>
      </w:r>
      <w:r>
        <w:rPr>
          <w:rFonts w:hint="eastAsia" w:ascii="仿宋_GB2312" w:hAnsi="宋体" w:eastAsia="仿宋_GB2312" w:cs="Times New Roman"/>
          <w:color w:val="auto"/>
          <w:kern w:val="2"/>
          <w:sz w:val="32"/>
          <w:szCs w:val="32"/>
          <w:lang w:val="en-US" w:eastAsia="zh-CN" w:bidi="ar-SA"/>
        </w:rPr>
        <w:t>依据《中华人民共和国突发事件应对法》中关于应急处置结束后应组织评估并制定改进措施的规定，《航道养护管理规定》中关于制定应急预案、开展应急演练及评估的要求，以及《水资源调度管理办法》中关于建立调度评估机制的要求</w:t>
      </w:r>
      <w:r>
        <w:rPr>
          <w:rFonts w:hint="eastAsia" w:ascii="仿宋_GB2312" w:hAnsi="宋体" w:cs="Times New Roman"/>
          <w:color w:val="auto"/>
          <w:kern w:val="2"/>
          <w:sz w:val="32"/>
          <w:szCs w:val="32"/>
          <w:lang w:val="en-US" w:eastAsia="zh-CN" w:bidi="ar-SA"/>
        </w:rPr>
        <w:t>。</w:t>
      </w:r>
    </w:p>
    <w:p w14:paraId="412D30FF">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bookmarkStart w:id="2" w:name="_Toc526940086"/>
      <w:r>
        <w:rPr>
          <w:rFonts w:hint="eastAsia" w:ascii="黑体" w:hAnsi="黑体" w:eastAsia="黑体" w:cs="仿宋_GB2312"/>
          <w:color w:val="auto"/>
          <w:sz w:val="32"/>
          <w:szCs w:val="32"/>
        </w:rPr>
        <w:t>六、</w:t>
      </w:r>
      <w:bookmarkEnd w:id="2"/>
      <w:r>
        <w:rPr>
          <w:rFonts w:hint="eastAsia" w:ascii="黑体" w:hAnsi="黑体" w:eastAsia="黑体" w:cs="仿宋_GB2312"/>
          <w:color w:val="auto"/>
          <w:sz w:val="32"/>
          <w:szCs w:val="32"/>
        </w:rPr>
        <w:t>重大分歧意见的处理经过和依据</w:t>
      </w:r>
    </w:p>
    <w:p w14:paraId="7DBD7D8D">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本标准研制过程中无重大分歧意见。</w:t>
      </w:r>
    </w:p>
    <w:p w14:paraId="69867F09">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七</w:t>
      </w:r>
      <w:r>
        <w:rPr>
          <w:rFonts w:ascii="黑体" w:hAnsi="黑体" w:eastAsia="黑体" w:cs="仿宋_GB2312"/>
          <w:color w:val="auto"/>
          <w:sz w:val="32"/>
          <w:szCs w:val="32"/>
        </w:rPr>
        <w:t>、</w:t>
      </w:r>
      <w:r>
        <w:rPr>
          <w:rFonts w:hint="eastAsia" w:ascii="黑体" w:hAnsi="黑体" w:eastAsia="黑体" w:cs="仿宋_GB2312"/>
          <w:color w:val="auto"/>
          <w:sz w:val="32"/>
          <w:szCs w:val="32"/>
        </w:rPr>
        <w:t>实施标准的措施</w:t>
      </w:r>
    </w:p>
    <w:p w14:paraId="67C45D00">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（一）标准报批发布后，成立标准宣贯工作组</w:t>
      </w:r>
    </w:p>
    <w:p w14:paraId="7330B5F1">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EC0E2CD">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（二）组织开展标准宣贯培训</w:t>
      </w:r>
    </w:p>
    <w:p w14:paraId="38C99CE1">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9942561">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（三）开展标准实施交流会，收集标准实施反馈信息</w:t>
      </w:r>
    </w:p>
    <w:p w14:paraId="336AB236">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1F438F65">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（四）开展标准实施效果评估</w:t>
      </w:r>
    </w:p>
    <w:p w14:paraId="7DE0DDFE">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36B16457">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八、其他应当说明的事项</w:t>
      </w:r>
    </w:p>
    <w:p w14:paraId="23A53EB2">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无。</w:t>
      </w:r>
    </w:p>
    <w:p w14:paraId="1562F1AF">
      <w:pPr>
        <w:keepNext w:val="0"/>
        <w:keepLines w:val="0"/>
        <w:pageBreakBefore w:val="0"/>
        <w:kinsoku/>
        <w:overflowPunct/>
        <w:topLinePunct w:val="0"/>
        <w:bidi w:val="0"/>
        <w:snapToGrid/>
        <w:spacing w:line="560" w:lineRule="exact"/>
        <w:ind w:left="0"/>
        <w:textAlignment w:val="auto"/>
        <w:rPr>
          <w:rFonts w:ascii="仿宋_GB2312" w:hAnsi="仿宋" w:eastAsia="仿宋_GB2312"/>
          <w:bCs/>
          <w:color w:val="auto"/>
          <w:sz w:val="36"/>
          <w:szCs w:val="32"/>
        </w:rPr>
      </w:pPr>
    </w:p>
    <w:p w14:paraId="0FDE70D6">
      <w:pPr>
        <w:keepNext w:val="0"/>
        <w:keepLines w:val="0"/>
        <w:pageBreakBefore w:val="0"/>
        <w:kinsoku/>
        <w:overflowPunct/>
        <w:topLinePunct w:val="0"/>
        <w:bidi w:val="0"/>
        <w:snapToGrid/>
        <w:spacing w:line="560" w:lineRule="exact"/>
        <w:ind w:left="0"/>
        <w:textAlignment w:val="auto"/>
        <w:rPr>
          <w:rFonts w:ascii="仿宋_GB2312" w:hAnsi="仿宋" w:eastAsia="仿宋_GB2312"/>
          <w:bCs/>
          <w:color w:val="auto"/>
          <w:sz w:val="36"/>
          <w:szCs w:val="32"/>
        </w:rPr>
      </w:pPr>
    </w:p>
    <w:p w14:paraId="639B864D">
      <w:pPr>
        <w:keepNext w:val="0"/>
        <w:keepLines w:val="0"/>
        <w:pageBreakBefore w:val="0"/>
        <w:kinsoku/>
        <w:wordWrap w:val="0"/>
        <w:overflowPunct/>
        <w:topLinePunct w:val="0"/>
        <w:bidi w:val="0"/>
        <w:snapToGrid/>
        <w:spacing w:line="560" w:lineRule="exact"/>
        <w:ind w:left="0"/>
        <w:jc w:val="right"/>
        <w:textAlignment w:val="auto"/>
        <w:rPr>
          <w:rFonts w:ascii="仿宋_GB2312" w:hAnsi="宋体" w:eastAsia="仿宋_GB2312"/>
          <w:color w:val="auto"/>
          <w:sz w:val="32"/>
          <w:szCs w:val="28"/>
        </w:rPr>
      </w:pPr>
      <w:r>
        <w:rPr>
          <w:rFonts w:hint="eastAsia" w:ascii="仿宋_GB2312" w:hAnsi="宋体" w:eastAsia="仿宋_GB2312"/>
          <w:color w:val="auto"/>
          <w:sz w:val="32"/>
          <w:szCs w:val="28"/>
        </w:rPr>
        <w:t>团体标准《</w:t>
      </w:r>
      <w:r>
        <w:rPr>
          <w:rFonts w:hint="eastAsia" w:ascii="仿宋_GB2312" w:hAnsi="宋体"/>
          <w:color w:val="auto"/>
          <w:sz w:val="32"/>
          <w:szCs w:val="28"/>
          <w:lang w:eastAsia="zh-CN"/>
        </w:rPr>
        <w:t>内河航道用水量保障与应急规范</w:t>
      </w:r>
      <w:r>
        <w:rPr>
          <w:rFonts w:hint="eastAsia" w:ascii="仿宋_GB2312" w:hAnsi="宋体" w:eastAsia="仿宋_GB2312"/>
          <w:color w:val="auto"/>
          <w:sz w:val="32"/>
          <w:szCs w:val="28"/>
        </w:rPr>
        <w:t>》</w:t>
      </w:r>
    </w:p>
    <w:p w14:paraId="607C1987">
      <w:pPr>
        <w:keepNext w:val="0"/>
        <w:keepLines w:val="0"/>
        <w:pageBreakBefore w:val="0"/>
        <w:kinsoku/>
        <w:wordWrap w:val="0"/>
        <w:overflowPunct/>
        <w:topLinePunct w:val="0"/>
        <w:bidi w:val="0"/>
        <w:snapToGrid/>
        <w:spacing w:line="560" w:lineRule="exact"/>
        <w:ind w:left="0"/>
        <w:jc w:val="right"/>
        <w:textAlignment w:val="auto"/>
        <w:rPr>
          <w:rFonts w:ascii="仿宋_GB2312" w:hAnsi="宋体" w:eastAsia="仿宋_GB2312"/>
          <w:color w:val="auto"/>
          <w:sz w:val="32"/>
          <w:szCs w:val="28"/>
        </w:rPr>
      </w:pPr>
      <w:r>
        <w:rPr>
          <w:rFonts w:hint="eastAsia" w:ascii="仿宋_GB2312" w:hAnsi="宋体" w:eastAsia="仿宋_GB2312"/>
          <w:color w:val="auto"/>
          <w:sz w:val="32"/>
          <w:szCs w:val="28"/>
        </w:rPr>
        <w:t xml:space="preserve">标准编制工作组 </w:t>
      </w:r>
      <w:r>
        <w:rPr>
          <w:rFonts w:ascii="仿宋_GB2312" w:hAnsi="宋体" w:eastAsia="仿宋_GB2312"/>
          <w:color w:val="auto"/>
          <w:sz w:val="32"/>
          <w:szCs w:val="28"/>
        </w:rPr>
        <w:t xml:space="preserve">        </w:t>
      </w:r>
    </w:p>
    <w:p w14:paraId="2F38B0BC">
      <w:pPr>
        <w:keepNext w:val="0"/>
        <w:keepLines w:val="0"/>
        <w:pageBreakBefore w:val="0"/>
        <w:kinsoku/>
        <w:wordWrap w:val="0"/>
        <w:overflowPunct/>
        <w:topLinePunct w:val="0"/>
        <w:bidi w:val="0"/>
        <w:snapToGrid/>
        <w:spacing w:line="560" w:lineRule="exact"/>
        <w:ind w:left="0"/>
        <w:jc w:val="right"/>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7</w:t>
      </w:r>
      <w:r>
        <w:rPr>
          <w:rFonts w:hint="eastAsia" w:ascii="仿宋_GB2312" w:hAnsi="宋体" w:eastAsia="仿宋_GB2312"/>
          <w:color w:val="auto"/>
          <w:sz w:val="32"/>
          <w:szCs w:val="28"/>
        </w:rPr>
        <w:t>月</w:t>
      </w:r>
      <w:r>
        <w:rPr>
          <w:rFonts w:hint="eastAsia" w:ascii="仿宋_GB2312" w:hAnsi="宋体"/>
          <w:color w:val="auto"/>
          <w:sz w:val="32"/>
          <w:szCs w:val="28"/>
          <w:lang w:val="en-US" w:eastAsia="zh-CN"/>
        </w:rPr>
        <w:t>3</w:t>
      </w:r>
      <w:r>
        <w:rPr>
          <w:rFonts w:hint="eastAsia" w:ascii="仿宋_GB2312" w:hAnsi="宋体" w:eastAsia="仿宋_GB2312"/>
          <w:color w:val="auto"/>
          <w:sz w:val="32"/>
          <w:szCs w:val="28"/>
        </w:rPr>
        <w:t xml:space="preserve">日       </w:t>
      </w:r>
      <w:r>
        <w:rPr>
          <w:rFonts w:ascii="仿宋_GB2312" w:hAnsi="宋体" w:eastAsia="仿宋_GB2312"/>
          <w:color w:val="auto"/>
          <w:sz w:val="32"/>
          <w:szCs w:val="28"/>
        </w:rPr>
        <w:t xml:space="preserve"> </w:t>
      </w:r>
    </w:p>
    <w:sectPr>
      <w:footerReference r:id="rId5" w:type="default"/>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2BE1229F">
        <w:pPr>
          <w:pStyle w:val="3"/>
          <w:jc w:val="center"/>
        </w:pPr>
        <w:r>
          <w:fldChar w:fldCharType="begin"/>
        </w:r>
        <w:r>
          <w:instrText xml:space="preserve">PAGE   \* MERGEFORMAT</w:instrText>
        </w:r>
        <w:r>
          <w:fldChar w:fldCharType="separate"/>
        </w:r>
        <w:r>
          <w:rPr>
            <w:lang w:val="zh-CN"/>
          </w:rPr>
          <w:t>7</w:t>
        </w:r>
        <w:r>
          <w:fldChar w:fldCharType="end"/>
        </w:r>
      </w:p>
    </w:sdtContent>
  </w:sdt>
  <w:p w14:paraId="76F9E80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4"/>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6"/>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557C2AF5"/>
    <w:multiLevelType w:val="multilevel"/>
    <w:tmpl w:val="557C2AF5"/>
    <w:lvl w:ilvl="0" w:tentative="0">
      <w:start w:val="1"/>
      <w:numFmt w:val="decimal"/>
      <w:pStyle w:val="1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46260FA"/>
    <w:multiLevelType w:val="multilevel"/>
    <w:tmpl w:val="646260FA"/>
    <w:lvl w:ilvl="0" w:tentative="0">
      <w:start w:val="1"/>
      <w:numFmt w:val="decimal"/>
      <w:pStyle w:val="1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7"/>
  </w:num>
  <w:num w:numId="2">
    <w:abstractNumId w:val="5"/>
  </w:num>
  <w:num w:numId="3">
    <w:abstractNumId w:val="3"/>
  </w:num>
  <w:num w:numId="4">
    <w:abstractNumId w:val="0"/>
  </w:num>
  <w:num w:numId="5">
    <w:abstractNumId w:val="4"/>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9601E9"/>
    <w:rsid w:val="01CE5D1C"/>
    <w:rsid w:val="023870D5"/>
    <w:rsid w:val="035D5C1E"/>
    <w:rsid w:val="039E595D"/>
    <w:rsid w:val="06D766B6"/>
    <w:rsid w:val="07003C6A"/>
    <w:rsid w:val="070F07F6"/>
    <w:rsid w:val="08083403"/>
    <w:rsid w:val="084F5179"/>
    <w:rsid w:val="09BE5E2A"/>
    <w:rsid w:val="0A091F73"/>
    <w:rsid w:val="0A8504E9"/>
    <w:rsid w:val="0AF52007"/>
    <w:rsid w:val="0CE92F02"/>
    <w:rsid w:val="0D92619C"/>
    <w:rsid w:val="0E4C5F96"/>
    <w:rsid w:val="0EB020D5"/>
    <w:rsid w:val="0F412CA9"/>
    <w:rsid w:val="0F501F02"/>
    <w:rsid w:val="0FD566D2"/>
    <w:rsid w:val="13B2170D"/>
    <w:rsid w:val="13B97480"/>
    <w:rsid w:val="14034EB5"/>
    <w:rsid w:val="14870494"/>
    <w:rsid w:val="15085E8C"/>
    <w:rsid w:val="15174F60"/>
    <w:rsid w:val="1556095A"/>
    <w:rsid w:val="167D7F24"/>
    <w:rsid w:val="17306AB5"/>
    <w:rsid w:val="17373F64"/>
    <w:rsid w:val="17AD5ADF"/>
    <w:rsid w:val="181141F9"/>
    <w:rsid w:val="191C10A7"/>
    <w:rsid w:val="19A054D6"/>
    <w:rsid w:val="19C808E7"/>
    <w:rsid w:val="1B0717C8"/>
    <w:rsid w:val="1BE33681"/>
    <w:rsid w:val="20653288"/>
    <w:rsid w:val="21862EC6"/>
    <w:rsid w:val="237A2B2A"/>
    <w:rsid w:val="2714160F"/>
    <w:rsid w:val="2C4F36F5"/>
    <w:rsid w:val="2CF60F59"/>
    <w:rsid w:val="2D5F22BD"/>
    <w:rsid w:val="2F77098D"/>
    <w:rsid w:val="2FF37D11"/>
    <w:rsid w:val="3013049D"/>
    <w:rsid w:val="30457642"/>
    <w:rsid w:val="30D016AE"/>
    <w:rsid w:val="332C3D99"/>
    <w:rsid w:val="365875C5"/>
    <w:rsid w:val="39356049"/>
    <w:rsid w:val="3A2F2590"/>
    <w:rsid w:val="3AEF7F72"/>
    <w:rsid w:val="3B4E60E4"/>
    <w:rsid w:val="3BFE2074"/>
    <w:rsid w:val="3CE73C8A"/>
    <w:rsid w:val="3F5C54AA"/>
    <w:rsid w:val="3F8C7277"/>
    <w:rsid w:val="3FA0222F"/>
    <w:rsid w:val="41BC1DE0"/>
    <w:rsid w:val="427D5D4A"/>
    <w:rsid w:val="42D769B6"/>
    <w:rsid w:val="44760DBC"/>
    <w:rsid w:val="44F600D3"/>
    <w:rsid w:val="45617704"/>
    <w:rsid w:val="48B048DB"/>
    <w:rsid w:val="49CA20C3"/>
    <w:rsid w:val="4B6202EC"/>
    <w:rsid w:val="4B8C0594"/>
    <w:rsid w:val="4C0F7B1B"/>
    <w:rsid w:val="4CFE380A"/>
    <w:rsid w:val="4D862B8C"/>
    <w:rsid w:val="4DFF35F5"/>
    <w:rsid w:val="4EF47599"/>
    <w:rsid w:val="4FE3578A"/>
    <w:rsid w:val="504608D4"/>
    <w:rsid w:val="516052CE"/>
    <w:rsid w:val="5161270B"/>
    <w:rsid w:val="54E94B5B"/>
    <w:rsid w:val="55661639"/>
    <w:rsid w:val="55761622"/>
    <w:rsid w:val="56484C86"/>
    <w:rsid w:val="5A272E2C"/>
    <w:rsid w:val="5BA65FD3"/>
    <w:rsid w:val="5BD857FA"/>
    <w:rsid w:val="5C080481"/>
    <w:rsid w:val="5E202145"/>
    <w:rsid w:val="5F2639EC"/>
    <w:rsid w:val="5F621BCD"/>
    <w:rsid w:val="6031647B"/>
    <w:rsid w:val="612D6CF3"/>
    <w:rsid w:val="61963763"/>
    <w:rsid w:val="6198016C"/>
    <w:rsid w:val="62D358FF"/>
    <w:rsid w:val="62F74A7A"/>
    <w:rsid w:val="641066DF"/>
    <w:rsid w:val="65E47E23"/>
    <w:rsid w:val="668E2223"/>
    <w:rsid w:val="66C95E27"/>
    <w:rsid w:val="683026D9"/>
    <w:rsid w:val="689A6DDC"/>
    <w:rsid w:val="693F388B"/>
    <w:rsid w:val="6DBA21A1"/>
    <w:rsid w:val="72DF5BFA"/>
    <w:rsid w:val="73731F46"/>
    <w:rsid w:val="73776B3F"/>
    <w:rsid w:val="742D6FE9"/>
    <w:rsid w:val="750F1727"/>
    <w:rsid w:val="75EF2C4F"/>
    <w:rsid w:val="78AF3D07"/>
    <w:rsid w:val="7AF5051C"/>
    <w:rsid w:val="7BBA680A"/>
    <w:rsid w:val="7BE826AE"/>
    <w:rsid w:val="7CCF532E"/>
    <w:rsid w:val="7DC91981"/>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35"/>
    <w:semiHidden/>
    <w:unhideWhenUsed/>
    <w:qFormat/>
    <w:uiPriority w:val="0"/>
    <w:rPr>
      <w:sz w:val="18"/>
      <w:szCs w:val="18"/>
    </w:rPr>
  </w:style>
  <w:style w:type="paragraph" w:styleId="3">
    <w:name w:val="footer"/>
    <w:basedOn w:val="1"/>
    <w:link w:val="27"/>
    <w:qFormat/>
    <w:uiPriority w:val="99"/>
    <w:pPr>
      <w:tabs>
        <w:tab w:val="center" w:pos="4153"/>
        <w:tab w:val="right" w:pos="8306"/>
      </w:tabs>
      <w:snapToGrid w:val="0"/>
      <w:jc w:val="left"/>
    </w:pPr>
    <w:rPr>
      <w:sz w:val="18"/>
      <w:szCs w:val="18"/>
    </w:rPr>
  </w:style>
  <w:style w:type="paragraph" w:styleId="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unhideWhenUsed/>
    <w:qFormat/>
    <w:uiPriority w:val="99"/>
    <w:rPr>
      <w:color w:val="0000FF"/>
      <w:u w:val="single"/>
    </w:rPr>
  </w:style>
  <w:style w:type="paragraph" w:customStyle="1" w:styleId="10">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正文表标题"/>
    <w:next w:val="10"/>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2">
    <w:name w:val="正文图标题"/>
    <w:next w:val="10"/>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4">
    <w:name w:val="一级条标题"/>
    <w:next w:val="10"/>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5">
    <w:name w:val="章标题"/>
    <w:next w:val="10"/>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6">
    <w:name w:val="二级条标题"/>
    <w:basedOn w:val="14"/>
    <w:next w:val="10"/>
    <w:qFormat/>
    <w:uiPriority w:val="0"/>
    <w:pPr>
      <w:numPr>
        <w:ilvl w:val="2"/>
      </w:numPr>
      <w:spacing w:before="50" w:after="50"/>
      <w:outlineLvl w:val="3"/>
    </w:pPr>
  </w:style>
  <w:style w:type="paragraph" w:customStyle="1" w:styleId="17">
    <w:name w:val="三级条标题"/>
    <w:basedOn w:val="16"/>
    <w:next w:val="10"/>
    <w:qFormat/>
    <w:uiPriority w:val="0"/>
    <w:pPr>
      <w:numPr>
        <w:ilvl w:val="3"/>
      </w:numPr>
      <w:outlineLvl w:val="4"/>
    </w:pPr>
  </w:style>
  <w:style w:type="paragraph" w:customStyle="1" w:styleId="18">
    <w:name w:val="四级条标题"/>
    <w:basedOn w:val="17"/>
    <w:next w:val="10"/>
    <w:qFormat/>
    <w:uiPriority w:val="0"/>
    <w:pPr>
      <w:numPr>
        <w:ilvl w:val="4"/>
      </w:numPr>
      <w:outlineLvl w:val="5"/>
    </w:pPr>
  </w:style>
  <w:style w:type="paragraph" w:customStyle="1" w:styleId="19">
    <w:name w:val="五级条标题"/>
    <w:basedOn w:val="18"/>
    <w:next w:val="10"/>
    <w:qFormat/>
    <w:uiPriority w:val="0"/>
    <w:pPr>
      <w:numPr>
        <w:ilvl w:val="5"/>
      </w:numPr>
      <w:outlineLvl w:val="6"/>
    </w:pPr>
  </w:style>
  <w:style w:type="paragraph" w:customStyle="1" w:styleId="20">
    <w:name w:val="注："/>
    <w:next w:val="10"/>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1">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2">
    <w:name w:val="附录图标题"/>
    <w:basedOn w:val="1"/>
    <w:next w:val="10"/>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3">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4">
    <w:name w:val="图表脚注说明"/>
    <w:basedOn w:val="1"/>
    <w:qFormat/>
    <w:uiPriority w:val="0"/>
    <w:pPr>
      <w:numPr>
        <w:ilvl w:val="0"/>
        <w:numId w:val="7"/>
      </w:numPr>
    </w:pPr>
    <w:rPr>
      <w:rFonts w:ascii="宋体"/>
      <w:sz w:val="18"/>
      <w:szCs w:val="18"/>
    </w:rPr>
  </w:style>
  <w:style w:type="character" w:customStyle="1" w:styleId="25">
    <w:name w:val="段 Char"/>
    <w:basedOn w:val="8"/>
    <w:link w:val="10"/>
    <w:qFormat/>
    <w:uiPriority w:val="0"/>
    <w:rPr>
      <w:rFonts w:ascii="宋体"/>
      <w:sz w:val="21"/>
      <w:lang w:val="en-US" w:eastAsia="zh-CN" w:bidi="ar-SA"/>
    </w:rPr>
  </w:style>
  <w:style w:type="character" w:customStyle="1" w:styleId="26">
    <w:name w:val="页眉 字符"/>
    <w:basedOn w:val="8"/>
    <w:link w:val="4"/>
    <w:qFormat/>
    <w:uiPriority w:val="0"/>
    <w:rPr>
      <w:kern w:val="2"/>
      <w:sz w:val="18"/>
      <w:szCs w:val="18"/>
    </w:rPr>
  </w:style>
  <w:style w:type="character" w:customStyle="1" w:styleId="27">
    <w:name w:val="页脚 字符"/>
    <w:basedOn w:val="8"/>
    <w:link w:val="3"/>
    <w:qFormat/>
    <w:uiPriority w:val="99"/>
    <w:rPr>
      <w:kern w:val="2"/>
      <w:sz w:val="18"/>
      <w:szCs w:val="18"/>
    </w:rPr>
  </w:style>
  <w:style w:type="paragraph" w:customStyle="1" w:styleId="28">
    <w:name w:val="附录表标题"/>
    <w:basedOn w:val="1"/>
    <w:next w:val="10"/>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29">
    <w:name w:val="List Paragraph"/>
    <w:basedOn w:val="1"/>
    <w:unhideWhenUsed/>
    <w:qFormat/>
    <w:uiPriority w:val="34"/>
    <w:pPr>
      <w:ind w:firstLine="420" w:firstLineChars="200"/>
    </w:pPr>
  </w:style>
  <w:style w:type="paragraph" w:customStyle="1" w:styleId="3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2">
    <w:name w:val="发布"/>
    <w:qFormat/>
    <w:uiPriority w:val="0"/>
    <w:rPr>
      <w:rFonts w:ascii="黑体" w:eastAsia="黑体"/>
      <w:spacing w:val="22"/>
      <w:w w:val="100"/>
      <w:position w:val="3"/>
      <w:sz w:val="28"/>
    </w:rPr>
  </w:style>
  <w:style w:type="paragraph" w:customStyle="1" w:styleId="33">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批注框文本 字符"/>
    <w:basedOn w:val="8"/>
    <w:link w:val="2"/>
    <w:semiHidden/>
    <w:qFormat/>
    <w:uiPriority w:val="0"/>
    <w:rPr>
      <w:rFonts w:ascii="Times New Roman" w:hAnsi="Times New Roman"/>
      <w:kern w:val="2"/>
      <w:sz w:val="18"/>
      <w:szCs w:val="18"/>
    </w:rPr>
  </w:style>
  <w:style w:type="paragraph" w:customStyle="1" w:styleId="36">
    <w:name w:val="0表格"/>
    <w:basedOn w:val="1"/>
    <w:qFormat/>
    <w:uiPriority w:val="0"/>
    <w:pPr>
      <w:widowControl/>
      <w:spacing w:line="240" w:lineRule="auto"/>
      <w:ind w:firstLine="0" w:firstLineChars="0"/>
      <w:jc w:val="center"/>
    </w:pPr>
    <w:rPr>
      <w:rFonts w:cs="Times New Roman"/>
      <w:kern w:val="0"/>
      <w:sz w:val="21"/>
      <w:szCs w:val="21"/>
    </w:rPr>
  </w:style>
  <w:style w:type="paragraph" w:customStyle="1" w:styleId="37">
    <w:name w:val="表格"/>
    <w:basedOn w:val="1"/>
    <w:qFormat/>
    <w:uiPriority w:val="0"/>
    <w:pPr>
      <w:spacing w:line="240" w:lineRule="auto"/>
      <w:ind w:firstLine="0" w:firstLineChars="0"/>
      <w:jc w:val="center"/>
    </w:pPr>
    <w:rPr>
      <w:rFonts w:ascii="Calibri" w:hAnsi="Calibri" w:cs="Times New Roman"/>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tif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22</Pages>
  <Words>7450</Words>
  <Characters>8642</Characters>
  <Lines>2</Lines>
  <Paragraphs>5</Paragraphs>
  <TotalTime>1</TotalTime>
  <ScaleCrop>false</ScaleCrop>
  <LinksUpToDate>false</LinksUpToDate>
  <CharactersWithSpaces>8719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河中鱼</cp:lastModifiedBy>
  <cp:lastPrinted>2019-07-10T11:21:00Z</cp:lastPrinted>
  <dcterms:modified xsi:type="dcterms:W3CDTF">2026-07-10T11:59:10Z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484DF7F1BEB842158BCD0584349217B5</vt:lpwstr>
  </property>
  <property fmtid="{D5CDD505-2E9C-101B-9397-08002B2CF9AE}" pid="4" name="KSOTemplateDocerSaveRecord">
    <vt:lpwstr>eyJoZGlkIjoiYWU5ODIyNDQzMTFlYmNiMzlhMmFkNjExNWM2YjM4YTYiLCJ1c2VySWQiOiIxNjgzMDY0NzMzIn0=</vt:lpwstr>
  </property>
</Properties>
</file>